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2491b9f4-598d-46e1-9cfb-c3015c5756d9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2018-02-07T22:14:30+00:00</Document_x0020_Date>
    <Document_x0020_No xmlns="4b47aac5-4c46-444f-8595-ce09b406fc61">37889</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BEB5-01EA-42D2-ACC1-25EC4C2217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32DAAD55-E366-43F7-A2A4-03D20FDEF872}"/>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5146100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