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8d9ec636-c6b4-41f9-a031-c1036cc97c75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2016-03-22T18:20:57+00:00</Document_x0020_Date>
    <Document_x0020_No xmlns="4b47aac5-4c46-444f-8595-ce09b406fc61">23382</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CDBE3-47A3-4E15-B049-1ABDC848FD2F}"/>
</file>

<file path=customXml/itemProps2.xml><?xml version="1.0" encoding="utf-8"?>
<ds:datastoreItem xmlns:ds="http://schemas.openxmlformats.org/officeDocument/2006/customXml" ds:itemID="{7F6AA74A-E8FE-4CEF-A80F-E8CEB7448178}"/>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8A9C2D24-F518-4786-9602-2F42CCB43578}"/>
</file>

<file path=customXml/itemProps5.xml><?xml version="1.0" encoding="utf-8"?>
<ds:datastoreItem xmlns:ds="http://schemas.openxmlformats.org/officeDocument/2006/customXml" ds:itemID="{A5915413-106A-40D9-B3F8-2B24C543DA8B}"/>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