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3F4420">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3F4420">
      <w:pPr>
        <w:pStyle w:val="NoSpacing"/>
        <w:jc w:val="center"/>
        <w:rPr>
          <w:rFonts w:ascii="Times New Roman" w:hAnsi="Times New Roman" w:cs="Times New Roman"/>
          <w:sz w:val="24"/>
          <w:szCs w:val="24"/>
        </w:rPr>
      </w:pPr>
    </w:p>
    <w:p w:rsidR="00EC1F98" w:rsidRPr="00650B32" w:rsidRDefault="00417CA6"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March 22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417CA6">
        <w:rPr>
          <w:rFonts w:ascii="Times New Roman" w:eastAsia="Times New Roman" w:hAnsi="Times New Roman" w:cs="Times New Roman"/>
          <w:b/>
          <w:bCs/>
          <w:sz w:val="24"/>
          <w:szCs w:val="24"/>
        </w:rPr>
        <w:t xml:space="preserve">Twenty-Four New ERCOT </w:t>
      </w:r>
      <w:r w:rsidR="00E36D1C">
        <w:rPr>
          <w:rFonts w:ascii="Times New Roman" w:eastAsia="Times New Roman" w:hAnsi="Times New Roman" w:cs="Times New Roman"/>
          <w:b/>
          <w:bCs/>
          <w:sz w:val="24"/>
          <w:szCs w:val="24"/>
        </w:rPr>
        <w:t xml:space="preserve">Power </w:t>
      </w:r>
      <w:r w:rsidR="00417CA6">
        <w:rPr>
          <w:rFonts w:ascii="Times New Roman" w:eastAsia="Times New Roman" w:hAnsi="Times New Roman" w:cs="Times New Roman"/>
          <w:b/>
          <w:bCs/>
          <w:sz w:val="24"/>
          <w:szCs w:val="24"/>
        </w:rPr>
        <w:t xml:space="preserve">Futures </w:t>
      </w:r>
      <w:r w:rsidR="00E36D1C">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417CA6">
        <w:rPr>
          <w:rFonts w:ascii="Times New Roman" w:eastAsia="Calibri" w:hAnsi="Times New Roman" w:cs="Times New Roman"/>
          <w:b/>
          <w:sz w:val="24"/>
          <w:szCs w:val="24"/>
          <w:u w:val="single"/>
        </w:rPr>
        <w:t>30</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Pr="001B6ADA"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417CA6">
        <w:rPr>
          <w:rFonts w:ascii="Times New Roman" w:eastAsia="Calibri" w:hAnsi="Times New Roman" w:cs="Times New Roman"/>
          <w:sz w:val="24"/>
          <w:szCs w:val="24"/>
        </w:rPr>
        <w:t>twenty-four</w:t>
      </w:r>
      <w:r w:rsidR="004E0359">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CA335F">
        <w:rPr>
          <w:rFonts w:ascii="Times New Roman" w:eastAsia="Calibri" w:hAnsi="Times New Roman" w:cs="Times New Roman"/>
          <w:sz w:val="24"/>
          <w:szCs w:val="24"/>
        </w:rPr>
        <w:t>Electric Reliability Council of Texas independent service operator (“</w:t>
      </w:r>
      <w:r w:rsidR="00417CA6">
        <w:rPr>
          <w:rFonts w:ascii="Times New Roman" w:eastAsia="Calibri" w:hAnsi="Times New Roman" w:cs="Times New Roman"/>
          <w:sz w:val="24"/>
          <w:szCs w:val="24"/>
        </w:rPr>
        <w:t>ERCOT</w:t>
      </w:r>
      <w:r w:rsidR="00CA335F">
        <w:rPr>
          <w:rFonts w:ascii="Times New Roman" w:eastAsia="Calibri" w:hAnsi="Times New Roman" w:cs="Times New Roman"/>
          <w:sz w:val="24"/>
          <w:szCs w:val="24"/>
        </w:rPr>
        <w:t>”)</w:t>
      </w:r>
      <w:r w:rsidR="00417CA6">
        <w:rPr>
          <w:rFonts w:ascii="Times New Roman" w:eastAsia="Calibri" w:hAnsi="Times New Roman" w:cs="Times New Roman"/>
          <w:sz w:val="24"/>
          <w:szCs w:val="24"/>
        </w:rPr>
        <w:t xml:space="preserve"> power</w:t>
      </w:r>
      <w:r w:rsidR="008225AC">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417CA6">
        <w:rPr>
          <w:rFonts w:ascii="Times New Roman" w:eastAsia="Calibri" w:hAnsi="Times New Roman" w:cs="Times New Roman"/>
          <w:sz w:val="24"/>
          <w:szCs w:val="24"/>
        </w:rPr>
        <w:t>April 6</w:t>
      </w:r>
      <w:r w:rsidR="00352533">
        <w:rPr>
          <w:rFonts w:ascii="Times New Roman" w:eastAsia="Calibri" w:hAnsi="Times New Roman" w:cs="Times New Roman"/>
          <w:sz w:val="24"/>
          <w:szCs w:val="24"/>
        </w:rPr>
        <w:t xml:space="preserve">, 2016, for trade date </w:t>
      </w:r>
      <w:r w:rsidR="00417CA6">
        <w:rPr>
          <w:rFonts w:ascii="Times New Roman" w:eastAsia="Calibri" w:hAnsi="Times New Roman" w:cs="Times New Roman"/>
          <w:sz w:val="24"/>
          <w:szCs w:val="24"/>
        </w:rPr>
        <w:t>April 7</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 xml:space="preserve">The </w:t>
      </w:r>
      <w:r w:rsidR="0061772D" w:rsidRPr="005F1A38">
        <w:rPr>
          <w:rFonts w:ascii="Times New Roman" w:eastAsia="Calibri" w:hAnsi="Times New Roman" w:cs="Times New Roman"/>
          <w:sz w:val="24"/>
          <w:szCs w:val="24"/>
        </w:rPr>
        <w:t xml:space="preserve">amendments </w:t>
      </w:r>
      <w:r w:rsidR="0061772D" w:rsidRPr="001B6ADA">
        <w:rPr>
          <w:rFonts w:ascii="Times New Roman" w:eastAsia="Calibri" w:hAnsi="Times New Roman" w:cs="Times New Roman"/>
          <w:sz w:val="24"/>
          <w:szCs w:val="24"/>
        </w:rPr>
        <w:t>proposed in this submission shall be effective on the listing date.</w:t>
      </w:r>
    </w:p>
    <w:p w:rsidR="00471651" w:rsidRPr="001B6ADA" w:rsidRDefault="00471651" w:rsidP="008225AC">
      <w:pPr>
        <w:pStyle w:val="NoSpacing"/>
        <w:ind w:firstLine="1310"/>
        <w:rPr>
          <w:rFonts w:ascii="Times New Roman" w:eastAsia="Calibri" w:hAnsi="Times New Roman" w:cs="Times New Roman"/>
          <w:sz w:val="24"/>
          <w:szCs w:val="24"/>
        </w:rPr>
      </w:pPr>
    </w:p>
    <w:p w:rsidR="008225AC" w:rsidRPr="005F1A38" w:rsidRDefault="008225AC" w:rsidP="008225AC">
      <w:pPr>
        <w:pStyle w:val="NoSpacing"/>
        <w:ind w:firstLine="1310"/>
        <w:rPr>
          <w:rFonts w:ascii="Times New Roman" w:eastAsia="Calibri" w:hAnsi="Times New Roman" w:cs="Times New Roman"/>
          <w:sz w:val="24"/>
          <w:szCs w:val="24"/>
        </w:rPr>
      </w:pPr>
      <w:r w:rsidRPr="001B6ADA">
        <w:rPr>
          <w:rFonts w:ascii="Times New Roman" w:eastAsia="Calibri" w:hAnsi="Times New Roman" w:cs="Times New Roman"/>
          <w:sz w:val="24"/>
          <w:szCs w:val="24"/>
        </w:rPr>
        <w:t xml:space="preserve">The </w:t>
      </w:r>
      <w:r w:rsidR="00417CA6">
        <w:rPr>
          <w:rFonts w:ascii="Times New Roman" w:eastAsia="Calibri" w:hAnsi="Times New Roman" w:cs="Times New Roman"/>
          <w:sz w:val="24"/>
          <w:szCs w:val="24"/>
        </w:rPr>
        <w:t>name of e</w:t>
      </w:r>
      <w:r w:rsidR="000D4A76" w:rsidRPr="001B6ADA">
        <w:rPr>
          <w:rFonts w:ascii="Times New Roman" w:eastAsia="Calibri" w:hAnsi="Times New Roman" w:cs="Times New Roman"/>
          <w:sz w:val="24"/>
          <w:szCs w:val="24"/>
        </w:rPr>
        <w:t xml:space="preserve">ach </w:t>
      </w:r>
      <w:r w:rsidR="00B5273F" w:rsidRPr="001B6ADA">
        <w:rPr>
          <w:rFonts w:ascii="Times New Roman" w:eastAsia="Calibri" w:hAnsi="Times New Roman" w:cs="Times New Roman"/>
          <w:sz w:val="24"/>
          <w:szCs w:val="24"/>
        </w:rPr>
        <w:t>New Contract</w:t>
      </w:r>
      <w:r w:rsidR="00417CA6">
        <w:rPr>
          <w:rFonts w:ascii="Times New Roman" w:eastAsia="Calibri" w:hAnsi="Times New Roman" w:cs="Times New Roman"/>
          <w:sz w:val="24"/>
          <w:szCs w:val="24"/>
        </w:rPr>
        <w:t xml:space="preserve"> is set forth below, followed by its </w:t>
      </w:r>
      <w:r w:rsidRPr="001B6ADA">
        <w:rPr>
          <w:rFonts w:ascii="Times New Roman" w:eastAsia="Calibri" w:hAnsi="Times New Roman" w:cs="Times New Roman"/>
          <w:sz w:val="24"/>
          <w:szCs w:val="24"/>
        </w:rPr>
        <w:t>symbol in parenthes</w:t>
      </w:r>
      <w:r w:rsidR="001746B9" w:rsidRPr="001B6ADA">
        <w:rPr>
          <w:rFonts w:ascii="Times New Roman" w:eastAsia="Calibri" w:hAnsi="Times New Roman" w:cs="Times New Roman"/>
          <w:sz w:val="24"/>
          <w:szCs w:val="24"/>
        </w:rPr>
        <w:t>e</w:t>
      </w:r>
      <w:r w:rsidR="00417CA6">
        <w:rPr>
          <w:rFonts w:ascii="Times New Roman" w:eastAsia="Calibri" w:hAnsi="Times New Roman" w:cs="Times New Roman"/>
          <w:sz w:val="24"/>
          <w:szCs w:val="24"/>
        </w:rPr>
        <w:t>s</w:t>
      </w:r>
      <w:r w:rsidRPr="001B6ADA">
        <w:rPr>
          <w:rFonts w:ascii="Times New Roman" w:eastAsia="Calibri" w:hAnsi="Times New Roman" w:cs="Times New Roman"/>
          <w:sz w:val="24"/>
          <w:szCs w:val="24"/>
        </w:rPr>
        <w:t>:</w:t>
      </w:r>
    </w:p>
    <w:p w:rsidR="008225AC" w:rsidRPr="005F1A38" w:rsidRDefault="008225AC" w:rsidP="00E05D32">
      <w:pPr>
        <w:pStyle w:val="NoSpacing"/>
        <w:ind w:firstLine="1310"/>
        <w:rPr>
          <w:rFonts w:ascii="Times New Roman" w:eastAsia="Calibri" w:hAnsi="Times New Roman" w:cs="Times New Roman"/>
          <w:sz w:val="24"/>
          <w:szCs w:val="24"/>
        </w:rPr>
      </w:pP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Financial Futures (ERNQ)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- 5MW (ENMQ)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- 1MW (ENSQ)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lastRenderedPageBreak/>
        <w:t>NFX ERCOT Houston 345 KV Hub Real-Time Peak Financial Futures (ERHQ)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- 5MW (EHMQ)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- 1MW (EHSQ)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Financial Futures (ERSQ)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- 5MW (ESMQ)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- 1MW (ESSQ)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Financial Futures (ERWQ)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- 5MW (EWMQ)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- 1MW (EWSQ)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Financial Futures (NEBQ)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- 5MWH (NHMQ)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1MWH (NHNQ)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Financial Futures (HEBQ)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- 5MWH (HHMQ)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1MWH (HHNQ)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Financial Futures (SEBQ)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- 5MWH (SHMQ)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1MWH (SHNQ)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Financial Futures (WEBQ)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- 5MWH (WHMQ)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1MWH (WHNQ)</w:t>
      </w: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 xml:space="preserve">Rulebook Appendix </w:t>
      </w:r>
      <w:proofErr w:type="gramStart"/>
      <w:r w:rsidR="00371610" w:rsidRPr="00352533">
        <w:rPr>
          <w:rFonts w:ascii="Times New Roman" w:eastAsia="Calibri" w:hAnsi="Times New Roman" w:cs="Times New Roman"/>
          <w:sz w:val="24"/>
          <w:szCs w:val="24"/>
        </w:rPr>
        <w:t>A</w:t>
      </w:r>
      <w:proofErr w:type="gramEnd"/>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417CA6">
        <w:rPr>
          <w:rFonts w:ascii="Times New Roman" w:eastAsia="Calibri" w:hAnsi="Times New Roman" w:cs="Times New Roman"/>
          <w:sz w:val="24"/>
          <w:szCs w:val="24"/>
        </w:rPr>
        <w:t>317 – 324B</w:t>
      </w:r>
      <w:r w:rsidR="00E05D32">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w:t>
      </w:r>
      <w:r w:rsidR="00394142">
        <w:rPr>
          <w:rFonts w:ascii="Times New Roman" w:hAnsi="Times New Roman" w:cs="Times New Roman"/>
          <w:sz w:val="24"/>
          <w:szCs w:val="24"/>
        </w:rPr>
        <w:lastRenderedPageBreak/>
        <w:t xml:space="preserve">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A409E8"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DB3D58">
        <w:rPr>
          <w:rFonts w:ascii="Times New Roman" w:hAnsi="Times New Roman"/>
          <w:sz w:val="24"/>
          <w:szCs w:val="24"/>
        </w:rPr>
        <w:t xml:space="preserve">The New Contracts </w:t>
      </w:r>
      <w:r w:rsidR="000C115A">
        <w:rPr>
          <w:rFonts w:ascii="Times New Roman" w:hAnsi="Times New Roman"/>
          <w:sz w:val="24"/>
          <w:szCs w:val="24"/>
        </w:rPr>
        <w:t xml:space="preserve">are monthly cash settled futures contracts based on the arithmetic </w:t>
      </w:r>
      <w:r w:rsidR="00417CA6" w:rsidRPr="00DB3D58">
        <w:rPr>
          <w:rFonts w:ascii="Times New Roman" w:hAnsi="Times New Roman"/>
          <w:color w:val="000000"/>
          <w:sz w:val="24"/>
          <w:szCs w:val="24"/>
        </w:rPr>
        <w:t xml:space="preserve">average of </w:t>
      </w:r>
      <w:r w:rsidR="00242ACF">
        <w:rPr>
          <w:rFonts w:ascii="Times New Roman" w:hAnsi="Times New Roman"/>
          <w:color w:val="000000"/>
          <w:sz w:val="24"/>
          <w:szCs w:val="24"/>
        </w:rPr>
        <w:t xml:space="preserve">real-time peak and off-peak </w:t>
      </w:r>
      <w:r w:rsidR="00A409E8">
        <w:rPr>
          <w:rFonts w:ascii="Times New Roman" w:hAnsi="Times New Roman"/>
          <w:color w:val="000000"/>
          <w:sz w:val="24"/>
          <w:szCs w:val="24"/>
        </w:rPr>
        <w:t>settlement point</w:t>
      </w:r>
      <w:r w:rsidR="000C115A">
        <w:rPr>
          <w:rFonts w:ascii="Times New Roman" w:hAnsi="Times New Roman"/>
          <w:color w:val="000000"/>
          <w:sz w:val="24"/>
          <w:szCs w:val="24"/>
        </w:rPr>
        <w:t xml:space="preserve"> prices </w:t>
      </w:r>
      <w:r w:rsidR="00417CA6" w:rsidRPr="00DB3D58">
        <w:rPr>
          <w:rFonts w:ascii="Times New Roman" w:hAnsi="Times New Roman"/>
          <w:color w:val="000000"/>
          <w:sz w:val="24"/>
          <w:szCs w:val="24"/>
        </w:rPr>
        <w:t>published by ERCOT</w:t>
      </w:r>
      <w:r w:rsidR="000C115A">
        <w:rPr>
          <w:rFonts w:ascii="Times New Roman" w:hAnsi="Times New Roman"/>
          <w:color w:val="000000"/>
          <w:sz w:val="24"/>
          <w:szCs w:val="24"/>
        </w:rPr>
        <w:t xml:space="preserve"> for the West, North, South and Houston 345KV Hubs</w:t>
      </w:r>
      <w:r w:rsidR="00242ACF">
        <w:rPr>
          <w:rFonts w:ascii="Times New Roman" w:hAnsi="Times New Roman"/>
          <w:color w:val="000000"/>
          <w:sz w:val="24"/>
          <w:szCs w:val="24"/>
        </w:rPr>
        <w:t>,</w:t>
      </w:r>
      <w:r w:rsidR="000C115A">
        <w:rPr>
          <w:rFonts w:ascii="Times New Roman" w:hAnsi="Times New Roman"/>
          <w:color w:val="000000"/>
          <w:sz w:val="24"/>
          <w:szCs w:val="24"/>
        </w:rPr>
        <w:t xml:space="preserve"> as</w:t>
      </w:r>
      <w:r w:rsidR="00242ACF">
        <w:rPr>
          <w:rFonts w:ascii="Times New Roman" w:hAnsi="Times New Roman"/>
          <w:color w:val="000000"/>
          <w:sz w:val="24"/>
          <w:szCs w:val="24"/>
        </w:rPr>
        <w:t xml:space="preserve"> described in the terms and conditions of the contracts set forth</w:t>
      </w:r>
      <w:r w:rsidR="000C115A">
        <w:rPr>
          <w:rFonts w:ascii="Times New Roman" w:hAnsi="Times New Roman"/>
          <w:color w:val="000000"/>
          <w:sz w:val="24"/>
          <w:szCs w:val="24"/>
        </w:rPr>
        <w:t xml:space="preserve"> in Rulebook Appendix A</w:t>
      </w:r>
      <w:r w:rsidR="004F6A14" w:rsidRPr="00DB3D58">
        <w:rPr>
          <w:rFonts w:ascii="Times New Roman" w:hAnsi="Times New Roman"/>
          <w:sz w:val="24"/>
          <w:szCs w:val="24"/>
        </w:rPr>
        <w:t>.</w:t>
      </w:r>
      <w:r w:rsidR="00A409E8">
        <w:rPr>
          <w:rFonts w:ascii="Times New Roman" w:hAnsi="Times New Roman"/>
          <w:sz w:val="24"/>
          <w:szCs w:val="24"/>
        </w:rPr>
        <w:t xml:space="preserve">  A settlement point price is a locational marginal price calculated for the particular settlement point (resource node, load zone, or hub) specified in the individual contract’s rules.</w:t>
      </w:r>
      <w:r w:rsidR="00A409E8">
        <w:rPr>
          <w:rStyle w:val="FootnoteReference"/>
          <w:rFonts w:ascii="Times New Roman" w:hAnsi="Times New Roman"/>
          <w:sz w:val="24"/>
          <w:szCs w:val="24"/>
        </w:rPr>
        <w:footnoteReference w:id="2"/>
      </w:r>
      <w:r w:rsidR="00242ACF">
        <w:rPr>
          <w:rFonts w:ascii="Times New Roman" w:hAnsi="Times New Roman"/>
          <w:sz w:val="24"/>
          <w:szCs w:val="24"/>
        </w:rPr>
        <w:t xml:space="preserve">  </w:t>
      </w:r>
    </w:p>
    <w:p w:rsidR="00500258" w:rsidRDefault="00500258" w:rsidP="000D4A76">
      <w:pPr>
        <w:pStyle w:val="BodyText"/>
        <w:rPr>
          <w:rFonts w:ascii="Times New Roman" w:hAnsi="Times New Roman"/>
          <w:sz w:val="24"/>
          <w:szCs w:val="24"/>
        </w:rPr>
      </w:pPr>
    </w:p>
    <w:p w:rsidR="00B040FC" w:rsidRPr="00DB3D58" w:rsidRDefault="00A409E8"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42ACF">
        <w:rPr>
          <w:rFonts w:ascii="Times New Roman" w:hAnsi="Times New Roman"/>
          <w:sz w:val="24"/>
          <w:szCs w:val="24"/>
        </w:rPr>
        <w:t xml:space="preserve">The listing cycle for each contract is </w:t>
      </w:r>
      <w:r w:rsidR="00242ACF" w:rsidRPr="00242ACF">
        <w:rPr>
          <w:rFonts w:ascii="Times New Roman" w:hAnsi="Times New Roman"/>
          <w:sz w:val="24"/>
          <w:szCs w:val="24"/>
        </w:rPr>
        <w:t>up to 60 consecutive monthly contracts</w:t>
      </w:r>
      <w:r w:rsidR="00242ACF">
        <w:rPr>
          <w:rFonts w:ascii="Times New Roman" w:hAnsi="Times New Roman"/>
          <w:sz w:val="24"/>
          <w:szCs w:val="24"/>
        </w:rPr>
        <w:t>.   The b</w:t>
      </w:r>
      <w:r w:rsidR="00242ACF" w:rsidRPr="00242ACF">
        <w:rPr>
          <w:rFonts w:ascii="Times New Roman" w:hAnsi="Times New Roman"/>
          <w:sz w:val="24"/>
          <w:szCs w:val="24"/>
        </w:rPr>
        <w:t xml:space="preserve">lock </w:t>
      </w:r>
      <w:r>
        <w:rPr>
          <w:rFonts w:ascii="Times New Roman" w:hAnsi="Times New Roman"/>
          <w:sz w:val="24"/>
          <w:szCs w:val="24"/>
        </w:rPr>
        <w:t>t</w:t>
      </w:r>
      <w:r w:rsidR="00242ACF" w:rsidRPr="00242ACF">
        <w:rPr>
          <w:rFonts w:ascii="Times New Roman" w:hAnsi="Times New Roman"/>
          <w:sz w:val="24"/>
          <w:szCs w:val="24"/>
        </w:rPr>
        <w:t xml:space="preserve">rade </w:t>
      </w:r>
      <w:r w:rsidR="00242ACF">
        <w:rPr>
          <w:rFonts w:ascii="Times New Roman" w:hAnsi="Times New Roman"/>
          <w:sz w:val="24"/>
          <w:szCs w:val="24"/>
        </w:rPr>
        <w:t>minimum q</w:t>
      </w:r>
      <w:r w:rsidR="00242ACF" w:rsidRPr="00242ACF">
        <w:rPr>
          <w:rFonts w:ascii="Times New Roman" w:hAnsi="Times New Roman"/>
          <w:sz w:val="24"/>
          <w:szCs w:val="24"/>
        </w:rPr>
        <w:t xml:space="preserve">uantity </w:t>
      </w:r>
      <w:r w:rsidR="00242ACF">
        <w:rPr>
          <w:rFonts w:ascii="Times New Roman" w:hAnsi="Times New Roman"/>
          <w:sz w:val="24"/>
          <w:szCs w:val="24"/>
        </w:rPr>
        <w:t>t</w:t>
      </w:r>
      <w:r w:rsidR="00242ACF" w:rsidRPr="00242ACF">
        <w:rPr>
          <w:rFonts w:ascii="Times New Roman" w:hAnsi="Times New Roman"/>
          <w:sz w:val="24"/>
          <w:szCs w:val="24"/>
        </w:rPr>
        <w:t xml:space="preserve">hreshold and </w:t>
      </w:r>
      <w:r w:rsidR="00242ACF">
        <w:rPr>
          <w:rFonts w:ascii="Times New Roman" w:hAnsi="Times New Roman"/>
          <w:sz w:val="24"/>
          <w:szCs w:val="24"/>
        </w:rPr>
        <w:t>r</w:t>
      </w:r>
      <w:r w:rsidR="00242ACF" w:rsidRPr="00242ACF">
        <w:rPr>
          <w:rFonts w:ascii="Times New Roman" w:hAnsi="Times New Roman"/>
          <w:sz w:val="24"/>
          <w:szCs w:val="24"/>
        </w:rPr>
        <w:t xml:space="preserve">eporting </w:t>
      </w:r>
      <w:r w:rsidR="00242ACF">
        <w:rPr>
          <w:rFonts w:ascii="Times New Roman" w:hAnsi="Times New Roman"/>
          <w:sz w:val="24"/>
          <w:szCs w:val="24"/>
        </w:rPr>
        <w:t>w</w:t>
      </w:r>
      <w:r w:rsidR="00242ACF" w:rsidRPr="00242ACF">
        <w:rPr>
          <w:rFonts w:ascii="Times New Roman" w:hAnsi="Times New Roman"/>
          <w:sz w:val="24"/>
          <w:szCs w:val="24"/>
        </w:rPr>
        <w:t>indow</w:t>
      </w:r>
      <w:r w:rsidR="00242ACF">
        <w:rPr>
          <w:rFonts w:ascii="Times New Roman" w:hAnsi="Times New Roman"/>
          <w:sz w:val="24"/>
          <w:szCs w:val="24"/>
        </w:rPr>
        <w:t xml:space="preserve"> of 10 contracts and fifteen minutes, as well as the spot month position limits, are consistent with those for similar power contracts currently listed by the Exchange. </w:t>
      </w:r>
    </w:p>
    <w:p w:rsidR="00B040FC" w:rsidRPr="00DB3D58"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w:t>
      </w:r>
      <w:r w:rsidR="000F3BC3">
        <w:rPr>
          <w:rFonts w:ascii="Times New Roman" w:hAnsi="Times New Roman"/>
          <w:sz w:val="24"/>
          <w:szCs w:val="24"/>
        </w:rPr>
        <w:t>N</w:t>
      </w:r>
      <w:r w:rsidR="00E36D1C">
        <w:rPr>
          <w:rFonts w:ascii="Times New Roman" w:hAnsi="Times New Roman"/>
          <w:sz w:val="24"/>
          <w:szCs w:val="24"/>
        </w:rPr>
        <w:t xml:space="preserve">ew </w:t>
      </w:r>
      <w:r w:rsidR="000F3BC3">
        <w:rPr>
          <w:rFonts w:ascii="Times New Roman" w:hAnsi="Times New Roman"/>
          <w:sz w:val="24"/>
          <w:szCs w:val="24"/>
        </w:rPr>
        <w:t>C</w:t>
      </w:r>
      <w:r w:rsidR="00E36D1C">
        <w:rPr>
          <w:rFonts w:ascii="Times New Roman" w:hAnsi="Times New Roman"/>
          <w:sz w:val="24"/>
          <w:szCs w:val="24"/>
        </w:rPr>
        <w:t xml:space="preserve">ontracts to </w:t>
      </w:r>
      <w:r w:rsidR="000F3BC3">
        <w:rPr>
          <w:rFonts w:ascii="Times New Roman" w:hAnsi="Times New Roman"/>
          <w:sz w:val="24"/>
          <w:szCs w:val="24"/>
        </w:rPr>
        <w:t>the</w:t>
      </w:r>
      <w:r w:rsidRPr="000D4A76">
        <w:rPr>
          <w:rFonts w:ascii="Times New Roman" w:hAnsi="Times New Roman"/>
          <w:sz w:val="24"/>
          <w:szCs w:val="24"/>
        </w:rPr>
        <w:t xml:space="preserve">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0F3BC3">
        <w:rPr>
          <w:rFonts w:ascii="Times New Roman" w:hAnsi="Times New Roman"/>
          <w:sz w:val="24"/>
          <w:szCs w:val="24"/>
        </w:rPr>
        <w:t>set forth in t</w:t>
      </w:r>
      <w:r w:rsidR="00E36D1C">
        <w:rPr>
          <w:rFonts w:ascii="Times New Roman" w:hAnsi="Times New Roman"/>
          <w:sz w:val="24"/>
          <w:szCs w:val="24"/>
        </w:rPr>
        <w:t xml:space="preserve">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Appendix A</w:t>
      </w:r>
      <w:r w:rsidR="000F3BC3">
        <w:rPr>
          <w:rFonts w:ascii="Times New Roman" w:hAnsi="Times New Roman"/>
          <w:sz w:val="24"/>
          <w:szCs w:val="24"/>
        </w:rPr>
        <w:t>.</w:t>
      </w:r>
      <w:r w:rsidR="00A35B1F">
        <w:rPr>
          <w:rFonts w:ascii="Times New Roman" w:hAnsi="Times New Roman"/>
          <w:sz w:val="24"/>
          <w:szCs w:val="24"/>
        </w:rPr>
        <w:t xml:space="preserve">   </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t>
      </w:r>
      <w:r w:rsidR="00DB3D58">
        <w:rPr>
          <w:rFonts w:ascii="Times New Roman" w:eastAsia="Calibri" w:hAnsi="Times New Roman" w:cs="Times New Roman"/>
          <w:sz w:val="24"/>
          <w:szCs w:val="24"/>
        </w:rPr>
        <w:t xml:space="preserve">a </w:t>
      </w:r>
      <w:r w:rsidR="00A43066">
        <w:rPr>
          <w:rFonts w:ascii="Times New Roman" w:eastAsia="Calibri" w:hAnsi="Times New Roman" w:cs="Times New Roman"/>
          <w:sz w:val="24"/>
          <w:szCs w:val="24"/>
        </w:rPr>
        <w:t xml:space="preserve">well-established </w:t>
      </w:r>
      <w:r w:rsidR="00A43066">
        <w:rPr>
          <w:rFonts w:ascii="Times New Roman" w:eastAsia="Calibri" w:hAnsi="Times New Roman" w:cs="Times New Roman"/>
          <w:sz w:val="24"/>
          <w:szCs w:val="24"/>
        </w:rPr>
        <w:lastRenderedPageBreak/>
        <w:t xml:space="preserve">reference source.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464066"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and are not readily subject to manipulation due to oversight of the electricity auctions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xml:space="preserve">. </w:t>
      </w:r>
      <w:r w:rsidR="00603BA9">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 xml:space="preserve">Moreover, </w:t>
      </w:r>
      <w:r w:rsidR="00104B56">
        <w:rPr>
          <w:rFonts w:ascii="Times New Roman" w:eastAsia="Calibri" w:hAnsi="Times New Roman" w:cs="Times New Roman"/>
          <w:sz w:val="24"/>
          <w:szCs w:val="24"/>
        </w:rPr>
        <w:t xml:space="preserve">as stated on its website, </w:t>
      </w:r>
      <w:r w:rsidR="00417CA6">
        <w:rPr>
          <w:rFonts w:ascii="Times New Roman" w:eastAsia="Calibri" w:hAnsi="Times New Roman" w:cs="Times New Roman"/>
          <w:sz w:val="24"/>
          <w:szCs w:val="24"/>
        </w:rPr>
        <w:t xml:space="preserve">ERCOT </w:t>
      </w:r>
      <w:r w:rsidR="00242ACF" w:rsidRPr="00242ACF">
        <w:rPr>
          <w:rFonts w:ascii="Times New Roman" w:eastAsia="Calibri" w:hAnsi="Times New Roman" w:cs="Times New Roman"/>
          <w:sz w:val="24"/>
          <w:szCs w:val="24"/>
        </w:rPr>
        <w:t>is a membership-based 501(c</w:t>
      </w:r>
      <w:proofErr w:type="gramStart"/>
      <w:r w:rsidR="00242ACF" w:rsidRPr="00242ACF">
        <w:rPr>
          <w:rFonts w:ascii="Times New Roman" w:eastAsia="Calibri" w:hAnsi="Times New Roman" w:cs="Times New Roman"/>
          <w:sz w:val="24"/>
          <w:szCs w:val="24"/>
        </w:rPr>
        <w:t>)(</w:t>
      </w:r>
      <w:proofErr w:type="gramEnd"/>
      <w:r w:rsidR="00242ACF" w:rsidRPr="00242ACF">
        <w:rPr>
          <w:rFonts w:ascii="Times New Roman" w:eastAsia="Calibri" w:hAnsi="Times New Roman" w:cs="Times New Roman"/>
          <w:sz w:val="24"/>
          <w:szCs w:val="24"/>
        </w:rPr>
        <w:t xml:space="preserve">4) nonprofit corporation, governed by a board of directors and subject to oversight by the Public Utility Commission of Texas and the Texas Legislature. </w:t>
      </w:r>
      <w:r w:rsidR="00104B56">
        <w:rPr>
          <w:rFonts w:ascii="Times New Roman" w:eastAsia="Calibri" w:hAnsi="Times New Roman" w:cs="Times New Roman"/>
          <w:sz w:val="24"/>
          <w:szCs w:val="24"/>
        </w:rPr>
        <w:t xml:space="preserve">ERCOT states that </w:t>
      </w:r>
      <w:r w:rsidR="00C1145A">
        <w:rPr>
          <w:rFonts w:ascii="Times New Roman" w:eastAsia="Calibri" w:hAnsi="Times New Roman" w:cs="Times New Roman"/>
          <w:sz w:val="24"/>
          <w:szCs w:val="24"/>
        </w:rPr>
        <w:t xml:space="preserve">its market </w:t>
      </w:r>
      <w:r w:rsidR="00104B56" w:rsidRPr="00104B56">
        <w:rPr>
          <w:rFonts w:ascii="Times New Roman" w:eastAsia="Calibri" w:hAnsi="Times New Roman" w:cs="Times New Roman"/>
          <w:sz w:val="24"/>
          <w:szCs w:val="24"/>
        </w:rPr>
        <w:t>rules and amendments are reviewed by the Public Utility Commission of Texas to ensure that they satisfy the public interest.</w:t>
      </w:r>
      <w:r w:rsidR="00A409E8">
        <w:rPr>
          <w:rStyle w:val="FootnoteReference"/>
          <w:rFonts w:ascii="Times New Roman" w:eastAsia="Calibri" w:hAnsi="Times New Roman" w:cs="Times New Roman"/>
          <w:sz w:val="24"/>
          <w:szCs w:val="24"/>
        </w:rPr>
        <w:footnoteReference w:id="3"/>
      </w:r>
      <w:r w:rsidR="00417CA6">
        <w:rPr>
          <w:rFonts w:ascii="Times New Roman" w:eastAsia="Calibri" w:hAnsi="Times New Roman" w:cs="Times New Roman"/>
          <w:sz w:val="24"/>
          <w:szCs w:val="24"/>
        </w:rPr>
        <w:t xml:space="preserve"> </w:t>
      </w:r>
    </w:p>
    <w:p w:rsidR="00464066" w:rsidRDefault="00464066"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real time</w:t>
      </w:r>
      <w:r w:rsidR="004F6A14">
        <w:rPr>
          <w:rFonts w:ascii="Times New Roman" w:eastAsia="Calibri" w:hAnsi="Times New Roman" w:cs="Times New Roman"/>
          <w:sz w:val="24"/>
          <w:szCs w:val="24"/>
        </w:rPr>
        <w:t xml:space="preserve"> </w:t>
      </w:r>
      <w:r w:rsidR="00847EA7">
        <w:rPr>
          <w:rFonts w:ascii="Times New Roman" w:eastAsia="Calibri" w:hAnsi="Times New Roman" w:cs="Times New Roman"/>
          <w:sz w:val="24"/>
          <w:szCs w:val="24"/>
        </w:rPr>
        <w:t xml:space="preserve">peak and </w:t>
      </w:r>
      <w:r w:rsidR="004F6A14">
        <w:rPr>
          <w:rFonts w:ascii="Times New Roman" w:eastAsia="Calibri" w:hAnsi="Times New Roman" w:cs="Times New Roman"/>
          <w:sz w:val="24"/>
          <w:szCs w:val="24"/>
        </w:rPr>
        <w:t xml:space="preserve">off-peak </w:t>
      </w:r>
      <w:r w:rsidRPr="00A35B1F">
        <w:rPr>
          <w:rFonts w:ascii="Times New Roman" w:eastAsia="Calibri" w:hAnsi="Times New Roman" w:cs="Times New Roman"/>
          <w:sz w:val="24"/>
          <w:szCs w:val="24"/>
        </w:rPr>
        <w:t>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417CA6" w:rsidRDefault="00417CA6" w:rsidP="00095F3F">
      <w:pPr>
        <w:pStyle w:val="NoSpacing"/>
        <w:ind w:firstLine="1310"/>
        <w:rPr>
          <w:rFonts w:ascii="Times New Roman" w:eastAsia="Calibri" w:hAnsi="Times New Roman" w:cs="Times New Roman"/>
          <w:sz w:val="24"/>
          <w:szCs w:val="24"/>
          <w:u w:val="single"/>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w:t>
      </w:r>
      <w:r w:rsidR="00847EA7">
        <w:rPr>
          <w:rFonts w:ascii="Times New Roman" w:eastAsia="Calibri" w:hAnsi="Times New Roman" w:cs="Times New Roman"/>
          <w:sz w:val="24"/>
          <w:szCs w:val="24"/>
        </w:rPr>
        <w:t>ERCOT prices</w:t>
      </w:r>
      <w:r w:rsidR="000313E1">
        <w:rPr>
          <w:rFonts w:ascii="Times New Roman" w:eastAsia="Calibri" w:hAnsi="Times New Roman" w:cs="Times New Roman"/>
          <w:sz w:val="24"/>
          <w:szCs w:val="24"/>
        </w:rPr>
        <w:t xml:space="preserve">.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w:t>
      </w:r>
      <w:r w:rsidR="004B4800" w:rsidRPr="004B4800">
        <w:rPr>
          <w:rFonts w:ascii="Times New Roman" w:eastAsia="Calibri" w:hAnsi="Times New Roman" w:cs="Times New Roman"/>
          <w:sz w:val="24"/>
          <w:szCs w:val="24"/>
        </w:rPr>
        <w:lastRenderedPageBreak/>
        <w:t xml:space="preserve">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 xml:space="preserve">set forth in the Cash Market Description and Deliverable Supply Analysis attached as </w:t>
      </w:r>
      <w:r w:rsidR="00E36D1C" w:rsidRPr="00845388">
        <w:rPr>
          <w:rFonts w:ascii="Times New Roman" w:eastAsia="Calibri" w:hAnsi="Times New Roman" w:cs="Times New Roman"/>
          <w:sz w:val="24"/>
          <w:szCs w:val="24"/>
          <w:u w:val="single"/>
        </w:rPr>
        <w:t>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w:t>
      </w:r>
      <w:r w:rsidR="008362A2">
        <w:rPr>
          <w:rFonts w:ascii="Times New Roman" w:eastAsia="Calibri" w:hAnsi="Times New Roman" w:cs="Times New Roman"/>
          <w:sz w:val="24"/>
          <w:szCs w:val="24"/>
        </w:rPr>
        <w:t xml:space="preserve">ERCOT </w:t>
      </w:r>
      <w:r w:rsidR="00E36D1C" w:rsidRPr="00E36D1C">
        <w:rPr>
          <w:rFonts w:ascii="Times New Roman" w:eastAsia="Calibri" w:hAnsi="Times New Roman" w:cs="Times New Roman"/>
          <w:sz w:val="24"/>
          <w:szCs w:val="24"/>
        </w:rPr>
        <w:t xml:space="preserve">power futures contracts, adjusted for contract size.  </w:t>
      </w:r>
      <w:r w:rsidR="008F34CB">
        <w:rPr>
          <w:rFonts w:ascii="Times New Roman" w:eastAsia="Calibri" w:hAnsi="Times New Roman" w:cs="Times New Roman"/>
          <w:sz w:val="24"/>
          <w:szCs w:val="24"/>
        </w:rPr>
        <w:t xml:space="preserve">Further, </w:t>
      </w:r>
      <w:r w:rsidR="00DB3D58">
        <w:rPr>
          <w:rFonts w:ascii="Times New Roman" w:eastAsia="Calibri" w:hAnsi="Times New Roman" w:cs="Times New Roman"/>
          <w:sz w:val="24"/>
          <w:szCs w:val="24"/>
        </w:rPr>
        <w:t xml:space="preserve">positions in </w:t>
      </w:r>
      <w:r w:rsidR="008F34CB">
        <w:rPr>
          <w:rFonts w:ascii="Times New Roman" w:eastAsia="Calibri" w:hAnsi="Times New Roman" w:cs="Times New Roman"/>
          <w:sz w:val="24"/>
          <w:szCs w:val="24"/>
        </w:rPr>
        <w:t>th</w:t>
      </w:r>
      <w:r w:rsidR="00E36D1C" w:rsidRPr="00E36D1C">
        <w:rPr>
          <w:rFonts w:ascii="Times New Roman" w:eastAsia="Calibri" w:hAnsi="Times New Roman" w:cs="Times New Roman"/>
          <w:sz w:val="24"/>
          <w:szCs w:val="24"/>
        </w:rPr>
        <w:t xml:space="preserve">e </w:t>
      </w:r>
      <w:r w:rsidR="00DB3D58">
        <w:rPr>
          <w:rFonts w:ascii="Times New Roman" w:eastAsia="Calibri" w:hAnsi="Times New Roman" w:cs="Times New Roman"/>
          <w:sz w:val="24"/>
          <w:szCs w:val="24"/>
        </w:rPr>
        <w:t xml:space="preserve">New Contracts identified as “Mini” contracts </w:t>
      </w:r>
      <w:r w:rsidR="00E36D1C" w:rsidRPr="00E36D1C">
        <w:rPr>
          <w:rFonts w:ascii="Times New Roman" w:eastAsia="Calibri" w:hAnsi="Times New Roman" w:cs="Times New Roman"/>
          <w:sz w:val="24"/>
          <w:szCs w:val="24"/>
        </w:rPr>
        <w:t xml:space="preserve">which have a smaller unit of trading </w:t>
      </w:r>
      <w:r w:rsidR="00DB3D58">
        <w:rPr>
          <w:rFonts w:ascii="Times New Roman" w:eastAsia="Calibri" w:hAnsi="Times New Roman" w:cs="Times New Roman"/>
          <w:sz w:val="24"/>
          <w:szCs w:val="24"/>
        </w:rPr>
        <w:t xml:space="preserve">than the associated larger “parent” New Contracts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w:t>
      </w:r>
      <w:r w:rsidR="00DB3D58">
        <w:rPr>
          <w:rFonts w:ascii="Times New Roman" w:eastAsia="Calibri" w:hAnsi="Times New Roman" w:cs="Times New Roman"/>
          <w:sz w:val="24"/>
          <w:szCs w:val="24"/>
        </w:rPr>
        <w:t>800</w:t>
      </w:r>
      <w:r w:rsidR="00E36D1C" w:rsidRPr="00E36D1C">
        <w:rPr>
          <w:rFonts w:ascii="Times New Roman" w:eastAsia="Calibri" w:hAnsi="Times New Roman" w:cs="Times New Roman"/>
          <w:sz w:val="24"/>
          <w:szCs w:val="24"/>
        </w:rPr>
        <w:t xml:space="preserve"> M</w:t>
      </w:r>
      <w:r w:rsidR="00A35B1F">
        <w:rPr>
          <w:rFonts w:ascii="Times New Roman" w:eastAsia="Calibri" w:hAnsi="Times New Roman" w:cs="Times New Roman"/>
          <w:sz w:val="24"/>
          <w:szCs w:val="24"/>
        </w:rPr>
        <w:t>Wh</w:t>
      </w:r>
      <w:r w:rsidR="004F6A14">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versus </w:t>
      </w:r>
      <w:r w:rsidR="00DB3D58">
        <w:rPr>
          <w:rFonts w:ascii="Times New Roman" w:eastAsia="Calibri" w:hAnsi="Times New Roman" w:cs="Times New Roman"/>
          <w:sz w:val="24"/>
          <w:szCs w:val="24"/>
        </w:rPr>
        <w:t>80</w:t>
      </w:r>
      <w:r w:rsidR="004F6A14">
        <w:rPr>
          <w:rFonts w:ascii="Times New Roman" w:eastAsia="Calibri" w:hAnsi="Times New Roman" w:cs="Times New Roman"/>
          <w:sz w:val="24"/>
          <w:szCs w:val="24"/>
        </w:rPr>
        <w:t xml:space="preserve"> MWh or </w:t>
      </w:r>
      <w:r w:rsidR="00DB3D58">
        <w:rPr>
          <w:rFonts w:ascii="Times New Roman" w:eastAsia="Calibri" w:hAnsi="Times New Roman" w:cs="Times New Roman"/>
          <w:sz w:val="24"/>
          <w:szCs w:val="24"/>
        </w:rPr>
        <w:t>16</w:t>
      </w:r>
      <w:r w:rsidR="004F6A14">
        <w:rPr>
          <w:rFonts w:ascii="Times New Roman" w:eastAsia="Calibri" w:hAnsi="Times New Roman" w:cs="Times New Roman"/>
          <w:sz w:val="24"/>
          <w:szCs w:val="24"/>
        </w:rPr>
        <w:t xml:space="preserve"> MWh</w:t>
      </w:r>
      <w:r w:rsidR="008362A2">
        <w:rPr>
          <w:rFonts w:ascii="Times New Roman" w:eastAsia="Calibri" w:hAnsi="Times New Roman" w:cs="Times New Roman"/>
          <w:sz w:val="24"/>
          <w:szCs w:val="24"/>
        </w:rPr>
        <w:t>; and, 50</w:t>
      </w:r>
      <w:r w:rsidR="008362A2" w:rsidRPr="00E36D1C">
        <w:rPr>
          <w:rFonts w:ascii="Times New Roman" w:eastAsia="Calibri" w:hAnsi="Times New Roman" w:cs="Times New Roman"/>
          <w:sz w:val="24"/>
          <w:szCs w:val="24"/>
        </w:rPr>
        <w:t xml:space="preserve"> M</w:t>
      </w:r>
      <w:r w:rsidR="008362A2">
        <w:rPr>
          <w:rFonts w:ascii="Times New Roman" w:eastAsia="Calibri" w:hAnsi="Times New Roman" w:cs="Times New Roman"/>
          <w:sz w:val="24"/>
          <w:szCs w:val="24"/>
        </w:rPr>
        <w:t xml:space="preserve">Wh </w:t>
      </w:r>
      <w:r w:rsidR="008362A2" w:rsidRPr="00E36D1C">
        <w:rPr>
          <w:rFonts w:ascii="Times New Roman" w:eastAsia="Calibri" w:hAnsi="Times New Roman" w:cs="Times New Roman"/>
          <w:sz w:val="24"/>
          <w:szCs w:val="24"/>
        </w:rPr>
        <w:t xml:space="preserve">versus </w:t>
      </w:r>
      <w:r w:rsidR="008362A2">
        <w:rPr>
          <w:rFonts w:ascii="Times New Roman" w:eastAsia="Calibri" w:hAnsi="Times New Roman" w:cs="Times New Roman"/>
          <w:sz w:val="24"/>
          <w:szCs w:val="24"/>
        </w:rPr>
        <w:t>5 MWh or 1 MWh</w:t>
      </w:r>
      <w:r w:rsidR="00E36D1C" w:rsidRPr="00E36D1C">
        <w:rPr>
          <w:rFonts w:ascii="Times New Roman" w:eastAsia="Calibri" w:hAnsi="Times New Roman" w:cs="Times New Roman"/>
          <w:sz w:val="24"/>
          <w:szCs w:val="24"/>
        </w:rPr>
        <w:t>)</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w:t>
      </w:r>
      <w:r w:rsidR="008362A2">
        <w:rPr>
          <w:rFonts w:ascii="Times New Roman" w:eastAsia="Calibri" w:hAnsi="Times New Roman" w:cs="Times New Roman"/>
          <w:sz w:val="24"/>
          <w:szCs w:val="24"/>
        </w:rPr>
        <w:t xml:space="preserve">positions in </w:t>
      </w:r>
      <w:r w:rsidR="00E36D1C" w:rsidRPr="00E36D1C">
        <w:rPr>
          <w:rFonts w:ascii="Times New Roman" w:eastAsia="Calibri" w:hAnsi="Times New Roman" w:cs="Times New Roman"/>
          <w:sz w:val="24"/>
          <w:szCs w:val="24"/>
        </w:rPr>
        <w:t xml:space="preserve">the </w:t>
      </w:r>
      <w:r w:rsidR="00DB3D58">
        <w:rPr>
          <w:rFonts w:ascii="Times New Roman" w:eastAsia="Calibri" w:hAnsi="Times New Roman" w:cs="Times New Roman"/>
          <w:sz w:val="24"/>
          <w:szCs w:val="24"/>
        </w:rPr>
        <w:t>associated larger parent New Contract as indicated in Rulebook Appendix B</w:t>
      </w:r>
      <w:r w:rsidR="00E36D1C" w:rsidRPr="00E36D1C">
        <w:rPr>
          <w:rFonts w:ascii="Times New Roman" w:eastAsia="Calibri" w:hAnsi="Times New Roman" w:cs="Times New Roman"/>
          <w:sz w:val="24"/>
          <w:szCs w:val="24"/>
        </w:rPr>
        <w:t>.</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DB3D58" w:rsidRDefault="00DB3D58" w:rsidP="00DD389D">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14600E">
      <w:pPr>
        <w:pStyle w:val="NoSpacing"/>
        <w:keepNext/>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 xml:space="preserve">Commission regulations OCC will set the speculative customer initial margin requirement on the </w:t>
      </w:r>
      <w:r w:rsidR="00DB3D58">
        <w:rPr>
          <w:rFonts w:ascii="Times New Roman" w:eastAsia="Calibri" w:hAnsi="Times New Roman" w:cs="Times New Roman"/>
          <w:sz w:val="24"/>
          <w:szCs w:val="24"/>
        </w:rPr>
        <w:t>twenty-four</w:t>
      </w:r>
      <w:r w:rsidR="00B61518" w:rsidRPr="001B6ADA">
        <w:rPr>
          <w:rFonts w:ascii="Times New Roman" w:eastAsia="Calibri" w:hAnsi="Times New Roman" w:cs="Times New Roman"/>
          <w:sz w:val="24"/>
          <w:szCs w:val="24"/>
        </w:rPr>
        <w:t xml:space="preserve"> New Contracts 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NFX contracts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lastRenderedPageBreak/>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17CA6">
        <w:rPr>
          <w:rFonts w:ascii="Times New Roman" w:hAnsi="Times New Roman" w:cs="Times New Roman"/>
          <w:sz w:val="24"/>
          <w:szCs w:val="24"/>
        </w:rPr>
        <w:t>30</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6E6055" w:rsidRDefault="006E6055">
      <w:pPr>
        <w:spacing w:after="0" w:line="240" w:lineRule="auto"/>
        <w:rPr>
          <w:rFonts w:ascii="Times New Roman"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55D11FD1-DE9C-40E7-B364-6D0713819C55}"/>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849655A9-313F-4425-B0A9-17D8CBF147E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DB3D58">
        <w:rPr>
          <w:rFonts w:ascii="Times New Roman" w:hAnsi="Times New Roman"/>
          <w:sz w:val="24"/>
          <w:szCs w:val="24"/>
        </w:rPr>
        <w:t>31</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DB3D58">
        <w:rPr>
          <w:rFonts w:ascii="Times New Roman" w:hAnsi="Times New Roman" w:cs="Times New Roman"/>
          <w:sz w:val="24"/>
          <w:szCs w:val="24"/>
        </w:rPr>
        <w:t>31</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A409E8" w:rsidRPr="00500258" w:rsidRDefault="00A409E8">
      <w:pPr>
        <w:pStyle w:val="FootnoteText"/>
        <w:rPr>
          <w:rFonts w:ascii="Times New Roman" w:hAnsi="Times New Roman" w:cs="Times New Roman"/>
          <w:sz w:val="24"/>
          <w:szCs w:val="24"/>
        </w:rPr>
      </w:pPr>
      <w:r w:rsidRPr="00500258">
        <w:rPr>
          <w:rStyle w:val="FootnoteReference"/>
          <w:rFonts w:ascii="Times New Roman" w:hAnsi="Times New Roman" w:cs="Times New Roman"/>
          <w:sz w:val="24"/>
          <w:szCs w:val="24"/>
        </w:rPr>
        <w:footnoteRef/>
      </w:r>
      <w:r w:rsidRPr="00500258">
        <w:rPr>
          <w:rFonts w:ascii="Times New Roman" w:hAnsi="Times New Roman" w:cs="Times New Roman"/>
          <w:sz w:val="24"/>
          <w:szCs w:val="24"/>
        </w:rPr>
        <w:t xml:space="preserve"> </w:t>
      </w:r>
      <w:r w:rsidRPr="00500258">
        <w:rPr>
          <w:rFonts w:ascii="Times New Roman" w:hAnsi="Times New Roman" w:cs="Times New Roman"/>
          <w:sz w:val="24"/>
          <w:szCs w:val="24"/>
        </w:rPr>
        <w:tab/>
      </w:r>
      <w:r w:rsidRPr="00500258">
        <w:rPr>
          <w:rFonts w:ascii="Times New Roman" w:hAnsi="Times New Roman" w:cs="Times New Roman"/>
          <w:sz w:val="24"/>
          <w:szCs w:val="24"/>
          <w:u w:val="single"/>
        </w:rPr>
        <w:t>See</w:t>
      </w:r>
      <w:r w:rsidRPr="00500258">
        <w:rPr>
          <w:rFonts w:ascii="Times New Roman" w:hAnsi="Times New Roman" w:cs="Times New Roman"/>
          <w:sz w:val="24"/>
          <w:szCs w:val="24"/>
        </w:rPr>
        <w:t xml:space="preserve"> http://www.ercot.com/glossary/s.</w:t>
      </w:r>
    </w:p>
  </w:footnote>
  <w:footnote w:id="3">
    <w:p w:rsidR="00A409E8" w:rsidRPr="00A409E8" w:rsidRDefault="00A409E8" w:rsidP="00A409E8">
      <w:pPr>
        <w:pStyle w:val="FootnoteText"/>
        <w:rPr>
          <w:rFonts w:ascii="Times New Roman" w:hAnsi="Times New Roman" w:cs="Times New Roman"/>
          <w:sz w:val="24"/>
          <w:szCs w:val="24"/>
        </w:rPr>
      </w:pPr>
      <w:r w:rsidRPr="00A409E8">
        <w:rPr>
          <w:rStyle w:val="FootnoteReference"/>
          <w:rFonts w:ascii="Times New Roman" w:hAnsi="Times New Roman" w:cs="Times New Roman"/>
          <w:sz w:val="24"/>
          <w:szCs w:val="24"/>
        </w:rPr>
        <w:footnoteRef/>
      </w:r>
      <w:r w:rsidRPr="00A409E8">
        <w:rPr>
          <w:rFonts w:ascii="Times New Roman" w:hAnsi="Times New Roman" w:cs="Times New Roman"/>
          <w:sz w:val="24"/>
          <w:szCs w:val="24"/>
        </w:rPr>
        <w:t xml:space="preserve"> </w:t>
      </w:r>
      <w:r w:rsidRPr="00A409E8">
        <w:rPr>
          <w:rFonts w:ascii="Times New Roman" w:hAnsi="Times New Roman" w:cs="Times New Roman"/>
          <w:sz w:val="24"/>
          <w:szCs w:val="24"/>
        </w:rPr>
        <w:tab/>
      </w:r>
      <w:r w:rsidR="00C1145A">
        <w:rPr>
          <w:rFonts w:ascii="Times New Roman" w:hAnsi="Times New Roman" w:cs="Times New Roman"/>
          <w:sz w:val="24"/>
          <w:szCs w:val="24"/>
        </w:rPr>
        <w:t xml:space="preserve">For information concerning ERCOT see </w:t>
      </w:r>
      <w:hyperlink r:id="rId1" w:history="1">
        <w:r w:rsidR="00C1145A" w:rsidRPr="00971E23">
          <w:rPr>
            <w:rStyle w:val="Hyperlink"/>
            <w:rFonts w:ascii="Times New Roman" w:hAnsi="Times New Roman" w:cs="Times New Roman"/>
            <w:sz w:val="24"/>
            <w:szCs w:val="24"/>
          </w:rPr>
          <w:t>http://www.ercot.com/about</w:t>
        </w:r>
      </w:hyperlink>
      <w:r w:rsidR="00C1145A">
        <w:rPr>
          <w:rFonts w:ascii="Times New Roman" w:hAnsi="Times New Roman" w:cs="Times New Roman"/>
          <w:sz w:val="24"/>
          <w:szCs w:val="24"/>
        </w:rPr>
        <w:t xml:space="preserve">.  </w:t>
      </w:r>
      <w:r w:rsidRPr="00A409E8">
        <w:rPr>
          <w:rFonts w:ascii="Times New Roman" w:hAnsi="Times New Roman" w:cs="Times New Roman"/>
          <w:sz w:val="24"/>
          <w:szCs w:val="24"/>
        </w:rPr>
        <w:t xml:space="preserve">For information concerning the PUC, see </w:t>
      </w:r>
      <w:hyperlink r:id="rId2" w:history="1">
        <w:r w:rsidR="00500258" w:rsidRPr="00477171">
          <w:rPr>
            <w:rStyle w:val="Hyperlink"/>
            <w:rFonts w:ascii="Times New Roman" w:hAnsi="Times New Roman" w:cs="Times New Roman"/>
            <w:sz w:val="24"/>
            <w:szCs w:val="24"/>
          </w:rPr>
          <w:t>http://www.puc.texas.gov/agency/about/mission.aspx</w:t>
        </w:r>
      </w:hyperlink>
      <w:r w:rsidR="00500258">
        <w:rPr>
          <w:rFonts w:ascii="Times New Roman" w:hAnsi="Times New Roman" w:cs="Times New Roman"/>
          <w:sz w:val="24"/>
          <w:szCs w:val="24"/>
        </w:rPr>
        <w:t xml:space="preserve"> .</w:t>
      </w:r>
      <w:bookmarkStart w:id="0" w:name="_GoBack"/>
      <w:bookmarkEnd w:id="0"/>
    </w:p>
    <w:p w:rsidR="00A409E8" w:rsidRPr="00A409E8" w:rsidRDefault="00A409E8">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DB3D58"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March 22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DB3D58">
      <w:rPr>
        <w:rFonts w:ascii="Times New Roman" w:hAnsi="Times New Roman" w:cs="Times New Roman"/>
        <w:sz w:val="20"/>
        <w:szCs w:val="20"/>
      </w:rPr>
      <w:t>30</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C1145A">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5057">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747B4"/>
    <w:rsid w:val="000764FA"/>
    <w:rsid w:val="00095F3F"/>
    <w:rsid w:val="000A0FF7"/>
    <w:rsid w:val="000A3874"/>
    <w:rsid w:val="000B0F2E"/>
    <w:rsid w:val="000C115A"/>
    <w:rsid w:val="000D02B9"/>
    <w:rsid w:val="000D4A76"/>
    <w:rsid w:val="000E0F9A"/>
    <w:rsid w:val="000F3BC3"/>
    <w:rsid w:val="00104B56"/>
    <w:rsid w:val="001265C8"/>
    <w:rsid w:val="00135BE1"/>
    <w:rsid w:val="0014600E"/>
    <w:rsid w:val="00153179"/>
    <w:rsid w:val="001746B9"/>
    <w:rsid w:val="0018088D"/>
    <w:rsid w:val="00197F73"/>
    <w:rsid w:val="001B6ADA"/>
    <w:rsid w:val="001C4306"/>
    <w:rsid w:val="001E53F3"/>
    <w:rsid w:val="002230A7"/>
    <w:rsid w:val="00242ACF"/>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3F4420"/>
    <w:rsid w:val="003F5035"/>
    <w:rsid w:val="00400D58"/>
    <w:rsid w:val="004166F5"/>
    <w:rsid w:val="00417CA6"/>
    <w:rsid w:val="00420946"/>
    <w:rsid w:val="00425E24"/>
    <w:rsid w:val="004416D1"/>
    <w:rsid w:val="00444B42"/>
    <w:rsid w:val="004468C6"/>
    <w:rsid w:val="00451810"/>
    <w:rsid w:val="004520D0"/>
    <w:rsid w:val="004623F3"/>
    <w:rsid w:val="00464066"/>
    <w:rsid w:val="00471651"/>
    <w:rsid w:val="004B4800"/>
    <w:rsid w:val="004C1038"/>
    <w:rsid w:val="004C595C"/>
    <w:rsid w:val="004E0359"/>
    <w:rsid w:val="004F4A5F"/>
    <w:rsid w:val="004F6A14"/>
    <w:rsid w:val="00500258"/>
    <w:rsid w:val="00517EAC"/>
    <w:rsid w:val="005444C0"/>
    <w:rsid w:val="00550D5C"/>
    <w:rsid w:val="0055465F"/>
    <w:rsid w:val="0055547F"/>
    <w:rsid w:val="0056301F"/>
    <w:rsid w:val="00575375"/>
    <w:rsid w:val="0059608D"/>
    <w:rsid w:val="005B121C"/>
    <w:rsid w:val="005B3A86"/>
    <w:rsid w:val="005C2E8D"/>
    <w:rsid w:val="005C4063"/>
    <w:rsid w:val="005D6916"/>
    <w:rsid w:val="005D7FB9"/>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055"/>
    <w:rsid w:val="006E620B"/>
    <w:rsid w:val="006F78A0"/>
    <w:rsid w:val="00704A07"/>
    <w:rsid w:val="00723F8E"/>
    <w:rsid w:val="00746658"/>
    <w:rsid w:val="00746EFF"/>
    <w:rsid w:val="007525F5"/>
    <w:rsid w:val="00752A6A"/>
    <w:rsid w:val="007667BD"/>
    <w:rsid w:val="0079548F"/>
    <w:rsid w:val="007B39B4"/>
    <w:rsid w:val="007D48A6"/>
    <w:rsid w:val="007F6B89"/>
    <w:rsid w:val="00803051"/>
    <w:rsid w:val="008225AC"/>
    <w:rsid w:val="00823846"/>
    <w:rsid w:val="0083294B"/>
    <w:rsid w:val="008362A2"/>
    <w:rsid w:val="00840E13"/>
    <w:rsid w:val="00845388"/>
    <w:rsid w:val="00847EA7"/>
    <w:rsid w:val="008504E3"/>
    <w:rsid w:val="008555D2"/>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62C60"/>
    <w:rsid w:val="009A2490"/>
    <w:rsid w:val="009D691D"/>
    <w:rsid w:val="009F7A70"/>
    <w:rsid w:val="00A01B4B"/>
    <w:rsid w:val="00A03815"/>
    <w:rsid w:val="00A06C10"/>
    <w:rsid w:val="00A137D7"/>
    <w:rsid w:val="00A35B1F"/>
    <w:rsid w:val="00A409E8"/>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04429"/>
    <w:rsid w:val="00B15314"/>
    <w:rsid w:val="00B16521"/>
    <w:rsid w:val="00B16C8B"/>
    <w:rsid w:val="00B34650"/>
    <w:rsid w:val="00B45B23"/>
    <w:rsid w:val="00B46E8E"/>
    <w:rsid w:val="00B5273F"/>
    <w:rsid w:val="00B569C1"/>
    <w:rsid w:val="00B61518"/>
    <w:rsid w:val="00B65CC7"/>
    <w:rsid w:val="00B67098"/>
    <w:rsid w:val="00B679D2"/>
    <w:rsid w:val="00B817A8"/>
    <w:rsid w:val="00B8408C"/>
    <w:rsid w:val="00B90BF8"/>
    <w:rsid w:val="00BB1623"/>
    <w:rsid w:val="00BC3040"/>
    <w:rsid w:val="00BC7B09"/>
    <w:rsid w:val="00BD5978"/>
    <w:rsid w:val="00BD66AD"/>
    <w:rsid w:val="00BF0157"/>
    <w:rsid w:val="00BF2D2F"/>
    <w:rsid w:val="00C03127"/>
    <w:rsid w:val="00C0680F"/>
    <w:rsid w:val="00C1145A"/>
    <w:rsid w:val="00C2091F"/>
    <w:rsid w:val="00C22DCB"/>
    <w:rsid w:val="00C32D24"/>
    <w:rsid w:val="00C43D2B"/>
    <w:rsid w:val="00C628A0"/>
    <w:rsid w:val="00C654A6"/>
    <w:rsid w:val="00CA335F"/>
    <w:rsid w:val="00CA65E5"/>
    <w:rsid w:val="00CB6A80"/>
    <w:rsid w:val="00CD6D2F"/>
    <w:rsid w:val="00CE4500"/>
    <w:rsid w:val="00CF7C6B"/>
    <w:rsid w:val="00D05049"/>
    <w:rsid w:val="00D138C3"/>
    <w:rsid w:val="00D31404"/>
    <w:rsid w:val="00D44C87"/>
    <w:rsid w:val="00D527EA"/>
    <w:rsid w:val="00D63C25"/>
    <w:rsid w:val="00D70163"/>
    <w:rsid w:val="00D80E7E"/>
    <w:rsid w:val="00D857B9"/>
    <w:rsid w:val="00D86D6F"/>
    <w:rsid w:val="00DA6428"/>
    <w:rsid w:val="00DB1B21"/>
    <w:rsid w:val="00DB3D58"/>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609A9"/>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www.puc.texas.gov/agency/about/mission.aspx" TargetMode="External"/><Relationship Id="rId1" Type="http://schemas.openxmlformats.org/officeDocument/2006/relationships/hyperlink" Target="http://www.ercot.com/abou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0ef55307-4b7c-4140-9e8f-4e3c193cb220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2016-03-22T18:33:09+00:00</Document_x0020_Date>
    <Document_x0020_No xmlns="4b47aac5-4c46-444f-8595-ce09b406fc61">23417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D5985-1EF9-4E54-9D93-BAEAF8AAC452}"/>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84F39220-DF4D-494D-994F-9D2E04FB303C}"/>
</file>

<file path=customXml/itemProps5.xml><?xml version="1.0" encoding="utf-8"?>
<ds:datastoreItem xmlns:ds="http://schemas.openxmlformats.org/officeDocument/2006/customXml" ds:itemID="{E46AD45B-45E3-4778-B169-C08D81475963}"/>
</file>

<file path=docProps/app.xml><?xml version="1.0" encoding="utf-8"?>
<Properties xmlns="http://schemas.openxmlformats.org/officeDocument/2006/extended-properties" xmlns:vt="http://schemas.openxmlformats.org/officeDocument/2006/docPropsVTypes">
  <Template>NASDAQ Futures NFX_Philadelphia letterhead</Template>
  <TotalTime>7</TotalTime>
  <Pages>7</Pages>
  <Words>2293</Words>
  <Characters>13076</Characters>
  <Application>Microsoft Office Word</Application>
  <DocSecurity>2</DocSecurity>
  <Lines>108</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5</cp:revision>
  <cp:lastPrinted>2008-04-01T17:51:00Z</cp:lastPrinted>
  <dcterms:created xsi:type="dcterms:W3CDTF">2016-03-21T20:29:00Z</dcterms:created>
  <dcterms:modified xsi:type="dcterms:W3CDTF">2016-03-22T13:36:00Z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2351300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