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5524bad6-4592-4f7b-a027-929f702f8237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2018-04-25T21:22:30+00:00</Document_x0020_Date>
    <Document_x0020_No xmlns="4b47aac5-4c46-444f-8595-ce09b406fc61">39117</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CEE1-656F-480D-AA75-2E3199AE6BA2}"/>
</file>

<file path=customXml/itemProps2.xml><?xml version="1.0" encoding="utf-8"?>
<ds:datastoreItem xmlns:ds="http://schemas.openxmlformats.org/officeDocument/2006/customXml" ds:itemID="{21C1E530-0030-4067-9C54-7DDB5CA674A0}"/>
</file>

<file path=customXml/itemProps3.xml><?xml version="1.0" encoding="utf-8"?>
<ds:datastoreItem xmlns:ds="http://schemas.openxmlformats.org/officeDocument/2006/customXml" ds:itemID="{AE69E9BA-55AE-4DFC-8C94-2775A8013AAE}"/>
</file>

<file path=customXml/itemProps4.xml><?xml version="1.0" encoding="utf-8"?>
<ds:datastoreItem xmlns:ds="http://schemas.openxmlformats.org/officeDocument/2006/customXml" ds:itemID="{FCB4AC1B-3E95-4492-8C6D-3C8713634AF1}"/>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