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a8d108f3-d319-4a4a-8fa4-7a354977112d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2016-05-18T17:12:23+00:00</Document_x0020_Date>
    <Document_x0020_No xmlns="4b47aac5-4c46-444f-8595-ce09b406fc61">24132</Document_x0020_No>
  </documentManagement>
</p:properties>
</file>

<file path=customXml/itemProps1.xml><?xml version="1.0" encoding="utf-8"?>
<ds:datastoreItem xmlns:ds="http://schemas.openxmlformats.org/officeDocument/2006/customXml" ds:itemID="{9C0191C7-0586-4E6E-9658-0AC6887A95E6}"/>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CD80B2CA-6460-44F1-9822-AF7B48C4AFC6}"/>
</file>

<file path=customXml/itemProps4.xml><?xml version="1.0" encoding="utf-8"?>
<ds:datastoreItem xmlns:ds="http://schemas.openxmlformats.org/officeDocument/2006/customXml" ds:itemID="{CF124439-5016-4FCB-BFE2-BBCD43FCCE92}"/>
</file>

<file path=customXml/itemProps5.xml><?xml version="1.0" encoding="utf-8"?>
<ds:datastoreItem xmlns:ds="http://schemas.openxmlformats.org/officeDocument/2006/customXml" ds:itemID="{458E2FD1-1C8E-4613-BF40-D9764FF25E73}"/>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2503400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