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9c644875-effa-4e4b-a58a-b1ca814a6327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2016-05-18T19:44:59+00:00</Document_x0020_Date>
    <Document_x0020_No xmlns="4b47aac5-4c46-444f-8595-ce09b406fc61">24266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8A0635A-464F-48AC-A806-A9113C81C22A}"/>
</file>

<file path=customXml/itemProps5.xml><?xml version="1.0" encoding="utf-8"?>
<ds:datastoreItem xmlns:ds="http://schemas.openxmlformats.org/officeDocument/2006/customXml" ds:itemID="{3D59AEA9-9E9E-4EC7-987F-067ADBA67B56}"/>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2524000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