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650B32" w:rsidRDefault="00D21BA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 29</w:t>
      </w:r>
      <w:r w:rsidR="00EC1F98">
        <w:rPr>
          <w:rFonts w:ascii="Times New Roman" w:eastAsia="Calibri" w:hAnsi="Times New Roman" w:cs="Times New Roman"/>
          <w:sz w:val="24"/>
          <w:szCs w:val="24"/>
        </w:rPr>
        <w:t>, 201</w:t>
      </w:r>
      <w:r w:rsidR="00197F7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650B32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1155 21</w:t>
      </w:r>
      <w:r w:rsidRPr="00650B3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reet</w:t>
      </w:r>
      <w:r w:rsidRPr="00650B32">
        <w:rPr>
          <w:rFonts w:ascii="Times New Roman" w:eastAsia="Calibri" w:hAnsi="Times New Roman" w:cs="Times New Roman"/>
          <w:sz w:val="24"/>
          <w:szCs w:val="24"/>
        </w:rPr>
        <w:t>, NW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Washington, DC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20581</w:t>
      </w:r>
    </w:p>
    <w:p w:rsidR="00EC1F98" w:rsidRPr="00650B32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197F73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25ABB">
        <w:rPr>
          <w:rFonts w:ascii="Times New Roman" w:eastAsia="Calibri" w:hAnsi="Times New Roman" w:cs="Times New Roman"/>
          <w:sz w:val="24"/>
          <w:szCs w:val="24"/>
        </w:rPr>
        <w:t>Re:</w:t>
      </w:r>
      <w:r w:rsidRPr="00425ABB">
        <w:rPr>
          <w:rFonts w:ascii="Times New Roman" w:eastAsia="Calibri" w:hAnsi="Times New Roman" w:cs="Times New Roman"/>
          <w:sz w:val="24"/>
          <w:szCs w:val="24"/>
        </w:rPr>
        <w:tab/>
      </w:r>
      <w:r w:rsidR="00F41104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</w:t>
      </w:r>
      <w:r w:rsidR="00197F73" w:rsidRPr="00197F73">
        <w:rPr>
          <w:rFonts w:ascii="Times New Roman" w:eastAsia="Calibri" w:hAnsi="Times New Roman" w:cs="Times New Roman"/>
          <w:b/>
          <w:sz w:val="24"/>
          <w:szCs w:val="24"/>
        </w:rPr>
        <w:t xml:space="preserve">Certification </w:t>
      </w:r>
    </w:p>
    <w:p w:rsidR="00D21BA8" w:rsidRDefault="00D21BA8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Amendments to </w:t>
      </w:r>
      <w:r w:rsidR="00546B67">
        <w:rPr>
          <w:rFonts w:ascii="Times New Roman" w:eastAsia="Calibri" w:hAnsi="Times New Roman" w:cs="Times New Roman"/>
          <w:b/>
          <w:sz w:val="24"/>
          <w:szCs w:val="24"/>
        </w:rPr>
        <w:t xml:space="preserve">Table of Position </w:t>
      </w:r>
      <w:r w:rsidR="00546B67" w:rsidRPr="00546B67">
        <w:rPr>
          <w:rFonts w:ascii="Times New Roman" w:eastAsia="Calibri" w:hAnsi="Times New Roman" w:cs="Times New Roman"/>
          <w:b/>
          <w:sz w:val="24"/>
          <w:szCs w:val="24"/>
        </w:rPr>
        <w:t>Limits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46B67" w:rsidRPr="00546B67">
        <w:rPr>
          <w:rFonts w:ascii="Times New Roman" w:eastAsia="Calibri" w:hAnsi="Times New Roman" w:cs="Times New Roman"/>
          <w:b/>
          <w:sz w:val="24"/>
          <w:szCs w:val="24"/>
        </w:rPr>
        <w:t xml:space="preserve"> Position </w:t>
      </w:r>
    </w:p>
    <w:p w:rsidR="00D8205D" w:rsidRPr="00546B67" w:rsidRDefault="00546B67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46B67">
        <w:rPr>
          <w:rFonts w:ascii="Times New Roman" w:eastAsia="Calibri" w:hAnsi="Times New Roman" w:cs="Times New Roman"/>
          <w:b/>
          <w:sz w:val="24"/>
          <w:szCs w:val="24"/>
        </w:rPr>
        <w:t>Accountability Levels and Large Trader Reporting Levels</w:t>
      </w:r>
      <w:r w:rsidR="00EC1F98" w:rsidRPr="00546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F73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E65D41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6060F8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CA4611">
        <w:rPr>
          <w:rFonts w:ascii="Times New Roman" w:eastAsia="Calibri" w:hAnsi="Times New Roman" w:cs="Times New Roman"/>
          <w:b/>
          <w:sz w:val="24"/>
          <w:szCs w:val="24"/>
          <w:u w:val="single"/>
        </w:rPr>
        <w:t>34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021A62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021A6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D14AB2" w:rsidRDefault="00EC1F98" w:rsidP="00E1138C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9A5CFC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”), and Section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regulations promulgated by the Commodity Futures Trading Commission </w:t>
      </w:r>
      <w:r w:rsidR="00F41104">
        <w:rPr>
          <w:rFonts w:ascii="Times New Roman" w:eastAsia="Calibri" w:hAnsi="Times New Roman" w:cs="Times New Roman"/>
          <w:sz w:val="24"/>
          <w:szCs w:val="24"/>
        </w:rPr>
        <w:t>(“</w:t>
      </w:r>
      <w:r w:rsidR="00F41104" w:rsidRPr="00F41104">
        <w:rPr>
          <w:rFonts w:ascii="Times New Roman" w:eastAsia="Calibri" w:hAnsi="Times New Roman" w:cs="Times New Roman"/>
          <w:sz w:val="24"/>
          <w:szCs w:val="24"/>
          <w:u w:val="single"/>
        </w:rPr>
        <w:t>Commission</w:t>
      </w:r>
      <w:r w:rsidR="00F4110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 the Act, NASDAQ Futures, Inc. (“</w:t>
      </w:r>
      <w:r w:rsidRPr="009A5CFC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9A5CFC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9A5CFC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9A5CFC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”) is 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substituting </w:t>
      </w:r>
      <w:r w:rsidR="00CA4611">
        <w:rPr>
          <w:rFonts w:ascii="Times New Roman" w:eastAsia="Calibri" w:hAnsi="Times New Roman" w:cs="Times New Roman"/>
          <w:sz w:val="24"/>
          <w:szCs w:val="24"/>
        </w:rPr>
        <w:t xml:space="preserve">spot month 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position accountability levels for </w:t>
      </w:r>
      <w:r w:rsidR="00F45F7D">
        <w:rPr>
          <w:rFonts w:ascii="Times New Roman" w:eastAsia="Calibri" w:hAnsi="Times New Roman" w:cs="Times New Roman"/>
          <w:sz w:val="24"/>
          <w:szCs w:val="24"/>
        </w:rPr>
        <w:t>spot month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 position limits for </w:t>
      </w:r>
      <w:r w:rsidR="00F45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the following NFX </w:t>
      </w:r>
      <w:r w:rsidR="00F45F7D">
        <w:rPr>
          <w:rFonts w:ascii="Times New Roman" w:eastAsia="Calibri" w:hAnsi="Times New Roman" w:cs="Times New Roman"/>
          <w:sz w:val="24"/>
          <w:szCs w:val="24"/>
        </w:rPr>
        <w:t xml:space="preserve">natural gas </w:t>
      </w:r>
      <w:r w:rsidR="00D14AB2">
        <w:rPr>
          <w:rFonts w:ascii="Times New Roman" w:eastAsia="Calibri" w:hAnsi="Times New Roman" w:cs="Times New Roman"/>
          <w:sz w:val="24"/>
          <w:szCs w:val="24"/>
        </w:rPr>
        <w:t>contracts which the Exchange anticipates listing in the near future</w:t>
      </w:r>
      <w:r w:rsidR="00D21BA8">
        <w:rPr>
          <w:rFonts w:ascii="Times New Roman" w:eastAsia="Calibri" w:hAnsi="Times New Roman" w:cs="Times New Roman"/>
          <w:sz w:val="24"/>
          <w:szCs w:val="24"/>
        </w:rPr>
        <w:t>, on a date to be announced in an upcoming Futures Regulatory Alert</w:t>
      </w:r>
      <w:r w:rsidR="00F45F7D">
        <w:rPr>
          <w:rFonts w:ascii="Times New Roman" w:eastAsia="Calibri" w:hAnsi="Times New Roman" w:cs="Times New Roman"/>
          <w:sz w:val="24"/>
          <w:szCs w:val="24"/>
        </w:rPr>
        <w:t>:</w:t>
      </w:r>
      <w:r w:rsidR="00E1138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</w:p>
    <w:p w:rsidR="00404501" w:rsidRDefault="00404501" w:rsidP="00D14AB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04501" w:rsidRDefault="00404501" w:rsidP="0040450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396"/>
        <w:gridCol w:w="3188"/>
      </w:tblGrid>
      <w:tr w:rsidR="00F45F7D" w:rsidTr="00E1138C">
        <w:tc>
          <w:tcPr>
            <w:tcW w:w="3978" w:type="dxa"/>
          </w:tcPr>
          <w:p w:rsidR="00F45F7D" w:rsidRPr="00F45F7D" w:rsidRDefault="00F45F7D" w:rsidP="00404501">
            <w:pPr>
              <w:pStyle w:val="Default"/>
              <w:spacing w:after="20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Contract Name </w:t>
            </w:r>
          </w:p>
        </w:tc>
        <w:tc>
          <w:tcPr>
            <w:tcW w:w="2396" w:type="dxa"/>
          </w:tcPr>
          <w:p w:rsidR="00F45F7D" w:rsidRPr="00F45F7D" w:rsidRDefault="00F45F7D" w:rsidP="00404501">
            <w:pPr>
              <w:pStyle w:val="Default"/>
              <w:spacing w:after="200"/>
              <w:rPr>
                <w:b/>
                <w:sz w:val="23"/>
                <w:szCs w:val="23"/>
              </w:rPr>
            </w:pPr>
            <w:r w:rsidRPr="00F45F7D">
              <w:rPr>
                <w:b/>
                <w:sz w:val="23"/>
                <w:szCs w:val="23"/>
              </w:rPr>
              <w:t>Rule</w:t>
            </w:r>
            <w:r>
              <w:rPr>
                <w:b/>
                <w:sz w:val="23"/>
                <w:szCs w:val="23"/>
              </w:rPr>
              <w:t>book Appendix A</w:t>
            </w:r>
            <w:r w:rsidRPr="00F45F7D">
              <w:rPr>
                <w:b/>
                <w:sz w:val="23"/>
                <w:szCs w:val="23"/>
              </w:rPr>
              <w:t xml:space="preserve"> Chapter </w:t>
            </w:r>
          </w:p>
        </w:tc>
        <w:tc>
          <w:tcPr>
            <w:tcW w:w="3188" w:type="dxa"/>
          </w:tcPr>
          <w:p w:rsidR="00F45F7D" w:rsidRPr="00F45F7D" w:rsidRDefault="00F45F7D" w:rsidP="00404501">
            <w:pPr>
              <w:pStyle w:val="Default"/>
              <w:spacing w:after="200"/>
              <w:rPr>
                <w:b/>
                <w:sz w:val="23"/>
                <w:szCs w:val="23"/>
              </w:rPr>
            </w:pPr>
            <w:r w:rsidRPr="00F45F7D">
              <w:rPr>
                <w:b/>
                <w:sz w:val="23"/>
                <w:szCs w:val="23"/>
              </w:rPr>
              <w:t>Symbol</w:t>
            </w:r>
          </w:p>
        </w:tc>
      </w:tr>
      <w:tr w:rsidR="00F45F7D" w:rsidTr="00E1138C">
        <w:tc>
          <w:tcPr>
            <w:tcW w:w="3978" w:type="dxa"/>
          </w:tcPr>
          <w:p w:rsidR="00F45F7D" w:rsidRDefault="00F45F7D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NFX Henry Hub Natural Gas Penultimate Financial Futures – 2,500</w:t>
            </w:r>
          </w:p>
        </w:tc>
        <w:tc>
          <w:tcPr>
            <w:tcW w:w="2396" w:type="dxa"/>
          </w:tcPr>
          <w:p w:rsidR="00F45F7D" w:rsidRDefault="00E1138C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</w:p>
        </w:tc>
        <w:tc>
          <w:tcPr>
            <w:tcW w:w="3188" w:type="dxa"/>
          </w:tcPr>
          <w:p w:rsidR="00F45F7D" w:rsidRDefault="00F45F7D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NPQ</w:t>
            </w:r>
          </w:p>
        </w:tc>
      </w:tr>
      <w:tr w:rsidR="00F45F7D" w:rsidTr="00E1138C">
        <w:tc>
          <w:tcPr>
            <w:tcW w:w="3978" w:type="dxa"/>
          </w:tcPr>
          <w:p w:rsidR="00F45F7D" w:rsidRDefault="00F45F7D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NFX Henry Hub Natural Gas Penultimate Financial Futures – 10,000</w:t>
            </w:r>
          </w:p>
        </w:tc>
        <w:tc>
          <w:tcPr>
            <w:tcW w:w="2396" w:type="dxa"/>
          </w:tcPr>
          <w:p w:rsidR="00F45F7D" w:rsidRDefault="00E1138C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3188" w:type="dxa"/>
          </w:tcPr>
          <w:p w:rsidR="00F45F7D" w:rsidRDefault="00F45F7D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HUQ</w:t>
            </w:r>
          </w:p>
        </w:tc>
      </w:tr>
      <w:tr w:rsidR="00F45F7D" w:rsidTr="00E1138C">
        <w:tc>
          <w:tcPr>
            <w:tcW w:w="3978" w:type="dxa"/>
          </w:tcPr>
          <w:p w:rsidR="00F45F7D" w:rsidRDefault="00F45F7D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NFX Options on NFX Henry Hub Penultimate Financial Futures – 10,000</w:t>
            </w:r>
          </w:p>
        </w:tc>
        <w:tc>
          <w:tcPr>
            <w:tcW w:w="2396" w:type="dxa"/>
          </w:tcPr>
          <w:p w:rsidR="00F45F7D" w:rsidRDefault="00E1138C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3188" w:type="dxa"/>
          </w:tcPr>
          <w:p w:rsidR="00F45F7D" w:rsidRDefault="00F45F7D" w:rsidP="00404501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LNQ</w:t>
            </w:r>
          </w:p>
        </w:tc>
      </w:tr>
    </w:tbl>
    <w:p w:rsidR="005D45D7" w:rsidRDefault="005D45D7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5D45D7" w:rsidRDefault="007C73AE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addition, t</w:t>
      </w:r>
      <w:r w:rsidR="00FB7B2A">
        <w:rPr>
          <w:rFonts w:ascii="Times New Roman" w:eastAsia="Calibri" w:hAnsi="Times New Roman" w:cs="Times New Roman"/>
          <w:sz w:val="24"/>
          <w:szCs w:val="24"/>
        </w:rPr>
        <w:t xml:space="preserve">he Exchange is also adding clarifying language in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the Exchange’s proposed </w:t>
      </w:r>
      <w:r w:rsidR="00646CD4" w:rsidRPr="00B6160A">
        <w:rPr>
          <w:rFonts w:ascii="Times New Roman" w:eastAsia="Calibri" w:hAnsi="Times New Roman" w:cs="Times New Roman"/>
          <w:sz w:val="24"/>
          <w:szCs w:val="24"/>
        </w:rPr>
        <w:t xml:space="preserve">Table of Position Limits Position Accountability </w:t>
      </w:r>
      <w:r w:rsidR="00646CD4" w:rsidRPr="00520740">
        <w:rPr>
          <w:rFonts w:ascii="Times New Roman" w:eastAsia="Calibri" w:hAnsi="Times New Roman" w:cs="Times New Roman"/>
          <w:sz w:val="24"/>
          <w:szCs w:val="24"/>
        </w:rPr>
        <w:t>Levels and Large Trader Reporting Levels (the “</w:t>
      </w:r>
      <w:r w:rsidR="00646CD4" w:rsidRPr="00CA4611">
        <w:rPr>
          <w:rFonts w:ascii="Times New Roman" w:eastAsia="Calibri" w:hAnsi="Times New Roman" w:cs="Times New Roman"/>
          <w:sz w:val="24"/>
          <w:szCs w:val="24"/>
          <w:u w:val="single"/>
        </w:rPr>
        <w:t>Position Limits T</w:t>
      </w:r>
      <w:r w:rsidR="00646CD4" w:rsidRPr="00520740">
        <w:rPr>
          <w:rFonts w:ascii="Times New Roman" w:eastAsia="Calibri" w:hAnsi="Times New Roman" w:cs="Times New Roman"/>
          <w:sz w:val="24"/>
          <w:szCs w:val="24"/>
          <w:u w:val="single"/>
        </w:rPr>
        <w:t>able</w:t>
      </w:r>
      <w:r w:rsidR="00646CD4" w:rsidRPr="00520740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FB7B2A">
        <w:rPr>
          <w:rFonts w:ascii="Times New Roman" w:eastAsia="Calibri" w:hAnsi="Times New Roman" w:cs="Times New Roman"/>
          <w:sz w:val="24"/>
          <w:szCs w:val="24"/>
        </w:rPr>
        <w:t>the column captioned “Initial Spot-Month Limit Effective Date” with respect to NFX Options on Brent Crude Financial Futures (BCQ) and NFX Options on NFX WTI Financial Futures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(LOQ)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.  The new language </w:t>
      </w:r>
      <w:r w:rsidR="00FB7B2A">
        <w:rPr>
          <w:rFonts w:ascii="Times New Roman" w:eastAsia="Calibri" w:hAnsi="Times New Roman" w:cs="Times New Roman"/>
          <w:sz w:val="24"/>
          <w:szCs w:val="24"/>
        </w:rPr>
        <w:t>clarif</w:t>
      </w:r>
      <w:r w:rsidR="00646CD4">
        <w:rPr>
          <w:rFonts w:ascii="Times New Roman" w:eastAsia="Calibri" w:hAnsi="Times New Roman" w:cs="Times New Roman"/>
          <w:sz w:val="24"/>
          <w:szCs w:val="24"/>
        </w:rPr>
        <w:t>ies</w:t>
      </w:r>
      <w:r w:rsidR="00FB7B2A">
        <w:rPr>
          <w:rFonts w:ascii="Times New Roman" w:eastAsia="Calibri" w:hAnsi="Times New Roman" w:cs="Times New Roman"/>
          <w:sz w:val="24"/>
          <w:szCs w:val="24"/>
        </w:rPr>
        <w:t xml:space="preserve"> that the date specified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in that column </w:t>
      </w:r>
      <w:r w:rsidR="00FB7B2A">
        <w:rPr>
          <w:rFonts w:ascii="Times New Roman" w:eastAsia="Calibri" w:hAnsi="Times New Roman" w:cs="Times New Roman"/>
          <w:sz w:val="24"/>
          <w:szCs w:val="24"/>
        </w:rPr>
        <w:t xml:space="preserve">is the initial spot-month limit effective date for the underlying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futures contracts into which BCQ and LOQ settle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B7B2A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>
        <w:rPr>
          <w:rFonts w:ascii="Times New Roman" w:eastAsia="Calibri" w:hAnsi="Times New Roman" w:cs="Times New Roman"/>
          <w:sz w:val="24"/>
          <w:szCs w:val="24"/>
        </w:rPr>
        <w:t>Brent Crude Financial Futures (BFQ) and the NFX WTI Crude Oil Financial Futures (CLQ), respectively.</w:t>
      </w:r>
    </w:p>
    <w:p w:rsidR="00FB7B2A" w:rsidRDefault="00FB7B2A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D14AB2" w:rsidRDefault="00646CD4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marked version of the </w:t>
      </w:r>
      <w:r w:rsidR="00CA4611" w:rsidRPr="00646CD4">
        <w:rPr>
          <w:rFonts w:ascii="Times New Roman" w:eastAsia="Calibri" w:hAnsi="Times New Roman" w:cs="Times New Roman"/>
          <w:sz w:val="24"/>
          <w:szCs w:val="24"/>
        </w:rPr>
        <w:t xml:space="preserve">Position Limits </w:t>
      </w:r>
      <w:r w:rsidR="00546B67" w:rsidRPr="00646CD4">
        <w:rPr>
          <w:rFonts w:ascii="Times New Roman" w:eastAsia="Calibri" w:hAnsi="Times New Roman" w:cs="Times New Roman"/>
          <w:sz w:val="24"/>
          <w:szCs w:val="24"/>
        </w:rPr>
        <w:t>Table</w:t>
      </w:r>
      <w:r w:rsidR="00546B67" w:rsidRPr="00520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AB2">
        <w:rPr>
          <w:rFonts w:ascii="Times New Roman" w:eastAsia="Calibri" w:hAnsi="Times New Roman" w:cs="Times New Roman"/>
          <w:sz w:val="24"/>
          <w:szCs w:val="24"/>
        </w:rPr>
        <w:t>reflect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="00D14AB2">
        <w:rPr>
          <w:rFonts w:ascii="Times New Roman" w:eastAsia="Calibri" w:hAnsi="Times New Roman" w:cs="Times New Roman"/>
          <w:sz w:val="24"/>
          <w:szCs w:val="24"/>
        </w:rPr>
        <w:t>th</w:t>
      </w:r>
      <w:r w:rsidR="00CA4611">
        <w:rPr>
          <w:rFonts w:ascii="Times New Roman" w:eastAsia="Calibri" w:hAnsi="Times New Roman" w:cs="Times New Roman"/>
          <w:sz w:val="24"/>
          <w:szCs w:val="24"/>
        </w:rPr>
        <w:t>e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 changes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described above is attached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. (See </w:t>
      </w:r>
      <w:r w:rsidR="00D14AB2" w:rsidRPr="00CA4611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CA4611" w:rsidRPr="00CA46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to SR-NFX-2015-34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4AB2" w:rsidRPr="00E1138C">
        <w:rPr>
          <w:rFonts w:ascii="Times New Roman" w:eastAsia="Calibri" w:hAnsi="Times New Roman" w:cs="Times New Roman"/>
          <w:i/>
          <w:sz w:val="24"/>
          <w:szCs w:val="24"/>
        </w:rPr>
        <w:t>Rulebook Appendix B: Table of Position Limits</w:t>
      </w:r>
      <w:r w:rsidR="00F4110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14AB2" w:rsidRPr="00E1138C">
        <w:rPr>
          <w:rFonts w:ascii="Times New Roman" w:eastAsia="Calibri" w:hAnsi="Times New Roman" w:cs="Times New Roman"/>
          <w:i/>
          <w:sz w:val="24"/>
          <w:szCs w:val="24"/>
        </w:rPr>
        <w:t xml:space="preserve"> Position Accountability Levels and Large Trader Reporting Levels</w:t>
      </w:r>
      <w:r w:rsidR="00F4110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14AB2">
        <w:rPr>
          <w:rFonts w:ascii="Times New Roman" w:eastAsia="Calibri" w:hAnsi="Times New Roman" w:cs="Times New Roman"/>
          <w:sz w:val="24"/>
          <w:szCs w:val="24"/>
        </w:rPr>
        <w:t xml:space="preserve"> attached under separate cover)</w:t>
      </w:r>
      <w:r w:rsidR="00546B6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="00546B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1F98" w:rsidRPr="002B607B" w:rsidRDefault="00EC1F98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A5CFC" w:rsidRDefault="00646CD4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With respect to </w:t>
      </w:r>
      <w:r w:rsidR="009A5CFC" w:rsidRPr="002B607B">
        <w:rPr>
          <w:rFonts w:ascii="Times New Roman" w:eastAsia="Calibri" w:hAnsi="Times New Roman" w:cs="Times New Roman"/>
          <w:sz w:val="24"/>
          <w:szCs w:val="24"/>
        </w:rPr>
        <w:t>the designated contract market core principles (“</w:t>
      </w:r>
      <w:r w:rsidR="009A5CFC" w:rsidRPr="002B607B">
        <w:rPr>
          <w:rFonts w:ascii="Times New Roman" w:eastAsia="Calibri" w:hAnsi="Times New Roman" w:cs="Times New Roman"/>
          <w:sz w:val="24"/>
          <w:szCs w:val="24"/>
          <w:u w:val="single"/>
        </w:rPr>
        <w:t>Core Principles</w:t>
      </w:r>
      <w:r>
        <w:rPr>
          <w:rFonts w:ascii="Times New Roman" w:eastAsia="Calibri" w:hAnsi="Times New Roman" w:cs="Times New Roman"/>
          <w:sz w:val="24"/>
          <w:szCs w:val="24"/>
        </w:rPr>
        <w:t>”) as set forth in the Act:</w:t>
      </w:r>
    </w:p>
    <w:p w:rsidR="005D45D7" w:rsidRDefault="005D45D7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5D45D7" w:rsidRPr="007F2F06" w:rsidRDefault="007F2F06" w:rsidP="007F2F06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7F2F06">
        <w:rPr>
          <w:rFonts w:ascii="Times New Roman" w:eastAsia="Calibri" w:hAnsi="Times New Roman" w:cs="Times New Roman"/>
          <w:sz w:val="24"/>
          <w:szCs w:val="24"/>
          <w:u w:val="single"/>
        </w:rPr>
        <w:t>Core Principle 3 -</w:t>
      </w:r>
      <w:r w:rsidR="00646C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F2F06">
        <w:rPr>
          <w:rFonts w:ascii="Times New Roman" w:eastAsia="Calibri" w:hAnsi="Times New Roman" w:cs="Times New Roman"/>
          <w:sz w:val="24"/>
          <w:szCs w:val="24"/>
          <w:u w:val="single"/>
        </w:rPr>
        <w:t>Contracts not Readily Subject to Manipulation</w:t>
      </w:r>
      <w:r w:rsidRPr="007F2F06">
        <w:rPr>
          <w:rFonts w:ascii="Times New Roman" w:eastAsia="Calibri" w:hAnsi="Times New Roman" w:cs="Times New Roman"/>
          <w:sz w:val="24"/>
          <w:szCs w:val="24"/>
        </w:rPr>
        <w:t>:</w:t>
      </w:r>
      <w:r w:rsidR="00F41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Contracts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with respect to which changes are made herein </w:t>
      </w:r>
      <w:r w:rsidRPr="007F2F06">
        <w:rPr>
          <w:rFonts w:ascii="Times New Roman" w:eastAsia="Calibri" w:hAnsi="Times New Roman" w:cs="Times New Roman"/>
          <w:sz w:val="24"/>
          <w:szCs w:val="24"/>
        </w:rPr>
        <w:t>will be financially settled, do not involve the physical delivery of commodities, and will settle to prices published on a well-established reference source. The options contracts will be exercised into the relevant Exchange futures contract.</w:t>
      </w:r>
    </w:p>
    <w:p w:rsidR="009A5CFC" w:rsidRPr="007F2F06" w:rsidRDefault="009A5CFC" w:rsidP="009A5CF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CF1497" w:rsidRPr="007F2F06" w:rsidRDefault="00CF1497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7F2F06">
        <w:rPr>
          <w:rFonts w:ascii="Times New Roman" w:eastAsia="Calibri" w:hAnsi="Times New Roman" w:cs="Times New Roman"/>
          <w:sz w:val="24"/>
          <w:szCs w:val="24"/>
          <w:u w:val="single"/>
        </w:rPr>
        <w:t>Core Principle 5 - Position Limitations or Accountability</w:t>
      </w:r>
      <w:r w:rsidRPr="007F2F06">
        <w:rPr>
          <w:rFonts w:ascii="Times New Roman" w:eastAsia="Calibri" w:hAnsi="Times New Roman" w:cs="Times New Roman"/>
          <w:sz w:val="24"/>
          <w:szCs w:val="24"/>
        </w:rPr>
        <w:t>:  The Exchange's rules at Chapter V, Section 13 set forth the Exchange's policies for monitoring</w:t>
      </w:r>
      <w:r w:rsidR="00F41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of positions that are owned, controlled or held by any person.  The proposed amendments </w:t>
      </w:r>
      <w:r w:rsidR="00546B67" w:rsidRPr="007F2F06">
        <w:rPr>
          <w:rFonts w:ascii="Times New Roman" w:eastAsia="Calibri" w:hAnsi="Times New Roman" w:cs="Times New Roman"/>
          <w:sz w:val="24"/>
          <w:szCs w:val="24"/>
        </w:rPr>
        <w:t xml:space="preserve">to the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Position Limits </w:t>
      </w:r>
      <w:r w:rsidR="00546B67" w:rsidRPr="007F2F06">
        <w:rPr>
          <w:rFonts w:ascii="Times New Roman" w:eastAsia="Calibri" w:hAnsi="Times New Roman" w:cs="Times New Roman"/>
          <w:sz w:val="24"/>
          <w:szCs w:val="24"/>
        </w:rPr>
        <w:t xml:space="preserve">Table substitute </w:t>
      </w:r>
      <w:r w:rsidR="007F2F06" w:rsidRPr="007F2F06">
        <w:rPr>
          <w:rFonts w:ascii="Times New Roman" w:eastAsia="Calibri" w:hAnsi="Times New Roman" w:cs="Times New Roman"/>
          <w:sz w:val="24"/>
          <w:szCs w:val="24"/>
        </w:rPr>
        <w:t xml:space="preserve">spot month </w:t>
      </w:r>
      <w:r w:rsidR="00546B67" w:rsidRPr="007F2F06">
        <w:rPr>
          <w:rFonts w:ascii="Times New Roman" w:eastAsia="Calibri" w:hAnsi="Times New Roman" w:cs="Times New Roman"/>
          <w:sz w:val="24"/>
          <w:szCs w:val="24"/>
        </w:rPr>
        <w:t xml:space="preserve">position accountability for </w:t>
      </w:r>
      <w:r w:rsidR="007F2F06" w:rsidRPr="007F2F06">
        <w:rPr>
          <w:rFonts w:ascii="Times New Roman" w:eastAsia="Calibri" w:hAnsi="Times New Roman" w:cs="Times New Roman"/>
          <w:sz w:val="24"/>
          <w:szCs w:val="24"/>
        </w:rPr>
        <w:t xml:space="preserve">spot month </w:t>
      </w:r>
      <w:r w:rsidR="00546B67" w:rsidRPr="007F2F06">
        <w:rPr>
          <w:rFonts w:ascii="Times New Roman" w:eastAsia="Calibri" w:hAnsi="Times New Roman" w:cs="Times New Roman"/>
          <w:sz w:val="24"/>
          <w:szCs w:val="24"/>
        </w:rPr>
        <w:t xml:space="preserve">position limits </w:t>
      </w:r>
      <w:proofErr w:type="gramStart"/>
      <w:r w:rsidR="00546B67" w:rsidRPr="007F2F06">
        <w:rPr>
          <w:rFonts w:ascii="Times New Roman" w:eastAsia="Calibri" w:hAnsi="Times New Roman" w:cs="Times New Roman"/>
          <w:sz w:val="24"/>
          <w:szCs w:val="24"/>
        </w:rPr>
        <w:t xml:space="preserve">for  </w:t>
      </w:r>
      <w:r w:rsidR="005D45D7" w:rsidRPr="007F2F06">
        <w:rPr>
          <w:rFonts w:ascii="Times New Roman" w:eastAsia="Calibri" w:hAnsi="Times New Roman" w:cs="Times New Roman"/>
          <w:sz w:val="24"/>
          <w:szCs w:val="24"/>
        </w:rPr>
        <w:t>NPQ</w:t>
      </w:r>
      <w:proofErr w:type="gramEnd"/>
      <w:r w:rsidR="005D45D7" w:rsidRPr="007F2F06">
        <w:rPr>
          <w:rFonts w:ascii="Times New Roman" w:eastAsia="Calibri" w:hAnsi="Times New Roman" w:cs="Times New Roman"/>
          <w:sz w:val="24"/>
          <w:szCs w:val="24"/>
        </w:rPr>
        <w:t>, HUQ, and LNQ, consistent with</w:t>
      </w:r>
      <w:r w:rsidR="007F2F06" w:rsidRPr="007F2F06">
        <w:rPr>
          <w:rFonts w:ascii="Times New Roman" w:eastAsia="Calibri" w:hAnsi="Times New Roman" w:cs="Times New Roman"/>
          <w:sz w:val="24"/>
          <w:szCs w:val="24"/>
        </w:rPr>
        <w:t xml:space="preserve"> spot month </w:t>
      </w:r>
      <w:r w:rsidR="005D45D7" w:rsidRPr="007F2F06">
        <w:rPr>
          <w:rFonts w:ascii="Times New Roman" w:eastAsia="Calibri" w:hAnsi="Times New Roman" w:cs="Times New Roman"/>
          <w:sz w:val="24"/>
          <w:szCs w:val="24"/>
        </w:rPr>
        <w:t xml:space="preserve"> position accountability treatment of 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comparable </w:t>
      </w:r>
      <w:r w:rsidR="005D45D7" w:rsidRPr="007F2F06">
        <w:rPr>
          <w:rFonts w:ascii="Times New Roman" w:eastAsia="Calibri" w:hAnsi="Times New Roman" w:cs="Times New Roman"/>
          <w:sz w:val="24"/>
          <w:szCs w:val="24"/>
        </w:rPr>
        <w:t xml:space="preserve">natural gas contracts that are 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already </w:t>
      </w:r>
      <w:r w:rsidR="00C02F3E" w:rsidRPr="007F2F06">
        <w:rPr>
          <w:rFonts w:ascii="Times New Roman" w:eastAsia="Calibri" w:hAnsi="Times New Roman" w:cs="Times New Roman"/>
          <w:sz w:val="24"/>
          <w:szCs w:val="24"/>
        </w:rPr>
        <w:t xml:space="preserve">in place at </w:t>
      </w:r>
      <w:r w:rsidR="005D45D7" w:rsidRPr="007F2F06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established futures exchange. </w:t>
      </w:r>
      <w:r w:rsidR="007C73AE">
        <w:rPr>
          <w:rFonts w:ascii="Times New Roman" w:eastAsia="Calibri" w:hAnsi="Times New Roman" w:cs="Times New Roman"/>
          <w:sz w:val="24"/>
          <w:szCs w:val="24"/>
        </w:rPr>
        <w:t>The clarifying language with respect to BCQ and LOQ is also consistent with language used by another established exchange in its position limits table with respect to comparable contracts.</w:t>
      </w:r>
    </w:p>
    <w:p w:rsidR="007F2F06" w:rsidRPr="007F2F06" w:rsidRDefault="007F2F06" w:rsidP="00CA4611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F2F06" w:rsidRPr="007F2F06" w:rsidRDefault="007F2F06" w:rsidP="007F2F06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7F2F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Core </w:t>
      </w:r>
      <w:proofErr w:type="gramStart"/>
      <w:r w:rsidRPr="007F2F06">
        <w:rPr>
          <w:rFonts w:ascii="Times New Roman" w:eastAsia="Calibri" w:hAnsi="Times New Roman" w:cs="Times New Roman"/>
          <w:sz w:val="24"/>
          <w:szCs w:val="24"/>
          <w:u w:val="single"/>
        </w:rPr>
        <w:t>Principle  7</w:t>
      </w:r>
      <w:proofErr w:type="gramEnd"/>
      <w:r w:rsidRPr="007F2F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Availability of General Information</w:t>
      </w:r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: As required by this Core Principle, the </w:t>
      </w:r>
      <w:r w:rsidR="00646CD4">
        <w:rPr>
          <w:rFonts w:ascii="Times New Roman" w:eastAsia="Calibri" w:hAnsi="Times New Roman" w:cs="Times New Roman"/>
          <w:sz w:val="24"/>
          <w:szCs w:val="24"/>
        </w:rPr>
        <w:t xml:space="preserve">Position Limits </w:t>
      </w:r>
      <w:r w:rsidRPr="007F2F06">
        <w:rPr>
          <w:rFonts w:ascii="Times New Roman" w:eastAsia="Calibri" w:hAnsi="Times New Roman" w:cs="Times New Roman"/>
          <w:sz w:val="24"/>
          <w:szCs w:val="24"/>
        </w:rPr>
        <w:t>Table, including the amendments proposed herein, will be posted on the Exchange’s website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hyperlink r:id="rId12" w:history="1">
        <w:r w:rsidRPr="00765087">
          <w:rPr>
            <w:rStyle w:val="Hyperlink"/>
            <w:color w:val="auto"/>
          </w:rPr>
          <w:t>WWW.NASDAQOMX.COM/NASDAQ-FUTURES</w:t>
        </w:r>
      </w:hyperlink>
      <w:r w:rsidRPr="007F2F0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D75A1" w:rsidRPr="007F2F06" w:rsidRDefault="007D75A1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65087" w:rsidRDefault="00F41104" w:rsidP="00F4110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 xml:space="preserve">The Position Limits Table, including the amendments made herein, will be implemented upon the listing of the Energy Contracts, on a date to be announced by the Exchange in a Futures Regulatory Alert.  </w:t>
      </w:r>
      <w:r w:rsidR="00EC1F98" w:rsidRPr="007F2F06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 w:rsidRPr="007F2F06">
        <w:rPr>
          <w:rFonts w:ascii="Times New Roman" w:eastAsia="Calibri" w:hAnsi="Times New Roman" w:cs="Times New Roman"/>
          <w:sz w:val="24"/>
          <w:szCs w:val="24"/>
        </w:rPr>
        <w:t>F</w:t>
      </w:r>
      <w:r w:rsidR="00197F73" w:rsidRPr="007F2F06">
        <w:rPr>
          <w:rFonts w:ascii="Times New Roman" w:eastAsia="Calibri" w:hAnsi="Times New Roman" w:cs="Times New Roman"/>
          <w:sz w:val="24"/>
          <w:szCs w:val="24"/>
        </w:rPr>
        <w:t>X</w:t>
      </w:r>
      <w:r w:rsidR="00EC1F98" w:rsidRPr="007F2F06">
        <w:rPr>
          <w:rFonts w:ascii="Times New Roman" w:eastAsia="Calibri" w:hAnsi="Times New Roman" w:cs="Times New Roman"/>
          <w:sz w:val="24"/>
          <w:szCs w:val="24"/>
        </w:rPr>
        <w:t xml:space="preserve">’s </w:t>
      </w:r>
      <w:r w:rsidR="00EC1F98" w:rsidRPr="007F2F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Board of Directors, members or market participants.  </w:t>
      </w:r>
      <w:r w:rsidR="0055547F" w:rsidRPr="007F2F06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="00EC1F98" w:rsidRPr="007F2F06">
        <w:rPr>
          <w:rFonts w:ascii="Times New Roman" w:eastAsia="Calibri" w:hAnsi="Times New Roman" w:cs="Times New Roman"/>
          <w:sz w:val="24"/>
          <w:szCs w:val="24"/>
        </w:rPr>
        <w:t xml:space="preserve">hereby certifies that </w:t>
      </w:r>
      <w:r w:rsidR="00C02F3E" w:rsidRPr="007F2F06">
        <w:rPr>
          <w:rFonts w:ascii="Times New Roman" w:eastAsia="Calibri" w:hAnsi="Times New Roman" w:cs="Times New Roman"/>
          <w:sz w:val="24"/>
          <w:szCs w:val="24"/>
        </w:rPr>
        <w:t>the amendmen</w:t>
      </w:r>
      <w:r w:rsidR="0052408E" w:rsidRPr="007F2F06">
        <w:rPr>
          <w:rFonts w:ascii="Times New Roman" w:eastAsia="Calibri" w:hAnsi="Times New Roman" w:cs="Times New Roman"/>
          <w:sz w:val="24"/>
          <w:szCs w:val="24"/>
        </w:rPr>
        <w:t xml:space="preserve">ts </w:t>
      </w:r>
      <w:r w:rsidR="00C02F3E" w:rsidRPr="007F2F06">
        <w:rPr>
          <w:rFonts w:ascii="Times New Roman" w:eastAsia="Calibri" w:hAnsi="Times New Roman" w:cs="Times New Roman"/>
          <w:sz w:val="24"/>
          <w:szCs w:val="24"/>
        </w:rPr>
        <w:t xml:space="preserve">comply </w:t>
      </w:r>
      <w:r w:rsidR="00EC1F98" w:rsidRPr="007F2F06">
        <w:rPr>
          <w:rFonts w:ascii="Times New Roman" w:eastAsia="Calibri" w:hAnsi="Times New Roman" w:cs="Times New Roman"/>
          <w:sz w:val="24"/>
          <w:szCs w:val="24"/>
        </w:rPr>
        <w:t xml:space="preserve">with the Act and </w:t>
      </w:r>
      <w:r w:rsidR="00C02F3E" w:rsidRPr="007F2F06">
        <w:rPr>
          <w:rFonts w:ascii="Times New Roman" w:eastAsia="Calibri" w:hAnsi="Times New Roman" w:cs="Times New Roman"/>
          <w:sz w:val="24"/>
          <w:szCs w:val="24"/>
        </w:rPr>
        <w:t xml:space="preserve">the Commission’s </w:t>
      </w:r>
      <w:r w:rsidR="00EC1F98" w:rsidRPr="007F2F06">
        <w:rPr>
          <w:rFonts w:ascii="Times New Roman" w:eastAsia="Calibri" w:hAnsi="Times New Roman" w:cs="Times New Roman"/>
          <w:sz w:val="24"/>
          <w:szCs w:val="24"/>
        </w:rPr>
        <w:t>regulations thereunder.  The Exchange also certifies that notice of pending certification and a copy of this submission have been concurrently posted on the Exchange’s</w:t>
      </w:r>
      <w:r w:rsidR="00EC1F98">
        <w:rPr>
          <w:rFonts w:ascii="Times New Roman" w:eastAsia="Calibri" w:hAnsi="Times New Roman" w:cs="Times New Roman"/>
          <w:sz w:val="24"/>
          <w:szCs w:val="24"/>
        </w:rPr>
        <w:t xml:space="preserve"> website at </w:t>
      </w:r>
      <w:hyperlink r:id="rId13" w:history="1">
        <w:r w:rsidR="00765087" w:rsidRPr="00765087">
          <w:rPr>
            <w:rStyle w:val="Hyperlink"/>
            <w:color w:val="auto"/>
          </w:rPr>
          <w:t>WWW.NASDAQOMX.COM/NASDAQ-FUTURES</w:t>
        </w:r>
      </w:hyperlink>
      <w:r w:rsidR="00765087" w:rsidRPr="00765087">
        <w:t>.</w:t>
      </w:r>
    </w:p>
    <w:p w:rsidR="00646CD4" w:rsidRPr="00765087" w:rsidRDefault="00646CD4" w:rsidP="00F41104">
      <w:pPr>
        <w:pStyle w:val="NoSpacing"/>
        <w:ind w:firstLine="1310"/>
      </w:pPr>
    </w:p>
    <w:p w:rsidR="00EC1F98" w:rsidRPr="00CA4611" w:rsidRDefault="005444C0" w:rsidP="00CA4611">
      <w:pPr>
        <w:pStyle w:val="NoSpacing"/>
        <w:keepNext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the submission, please contact </w:t>
      </w:r>
      <w:r w:rsidR="00D8205D">
        <w:rPr>
          <w:rFonts w:ascii="Times New Roman" w:eastAsia="Calibri" w:hAnsi="Times New Roman" w:cs="Times New Roman"/>
          <w:sz w:val="24"/>
          <w:szCs w:val="24"/>
        </w:rPr>
        <w:t xml:space="preserve">Carla </w:t>
      </w:r>
      <w:proofErr w:type="gramStart"/>
      <w:r w:rsidR="00D8205D">
        <w:rPr>
          <w:rFonts w:ascii="Times New Roman" w:eastAsia="Calibri" w:hAnsi="Times New Roman" w:cs="Times New Roman"/>
          <w:sz w:val="24"/>
          <w:szCs w:val="24"/>
        </w:rPr>
        <w:t xml:space="preserve">Behnfeldt 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5D">
        <w:rPr>
          <w:rFonts w:ascii="Times New Roman" w:eastAsia="Calibri" w:hAnsi="Times New Roman" w:cs="Times New Roman"/>
          <w:sz w:val="24"/>
          <w:szCs w:val="24"/>
        </w:rPr>
        <w:t>at</w:t>
      </w:r>
      <w:proofErr w:type="gramEnd"/>
      <w:r w:rsidR="00D8205D">
        <w:rPr>
          <w:rFonts w:ascii="Times New Roman" w:eastAsia="Calibri" w:hAnsi="Times New Roman" w:cs="Times New Roman"/>
          <w:sz w:val="24"/>
          <w:szCs w:val="24"/>
        </w:rPr>
        <w:t xml:space="preserve"> (215) 496-5208 </w:t>
      </w:r>
      <w:r w:rsidRPr="005444C0">
        <w:rPr>
          <w:rFonts w:ascii="Times New Roman" w:eastAsia="Calibri" w:hAnsi="Times New Roman" w:cs="Times New Roman"/>
          <w:sz w:val="24"/>
          <w:szCs w:val="24"/>
        </w:rPr>
        <w:t>or via e-mail at</w:t>
      </w:r>
      <w:r w:rsidR="007F2F06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D8205D">
        <w:rPr>
          <w:rFonts w:ascii="Times New Roman" w:eastAsia="Calibri" w:hAnsi="Times New Roman" w:cs="Times New Roman"/>
          <w:sz w:val="24"/>
          <w:szCs w:val="24"/>
        </w:rPr>
        <w:t>arla.behnfeldt@nasdaq.com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.  Please reference </w:t>
      </w:r>
      <w:r w:rsidR="00CF1497">
        <w:rPr>
          <w:rFonts w:ascii="Times New Roman" w:eastAsia="Calibri" w:hAnsi="Times New Roman" w:cs="Times New Roman"/>
          <w:sz w:val="24"/>
          <w:szCs w:val="24"/>
        </w:rPr>
        <w:t>SR-NFX-2015-</w:t>
      </w:r>
      <w:r w:rsidR="00CA4611">
        <w:rPr>
          <w:rFonts w:ascii="Times New Roman" w:eastAsia="Calibri" w:hAnsi="Times New Roman" w:cs="Times New Roman"/>
          <w:sz w:val="24"/>
          <w:szCs w:val="24"/>
        </w:rPr>
        <w:t>34</w:t>
      </w:r>
      <w:r w:rsidR="00CF1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697DF0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0F948A" wp14:editId="7AC22A07">
            <wp:simplePos x="0" y="0"/>
            <wp:positionH relativeFrom="column">
              <wp:posOffset>2156460</wp:posOffset>
            </wp:positionH>
            <wp:positionV relativeFrom="paragraph">
              <wp:posOffset>57785</wp:posOffset>
            </wp:positionV>
            <wp:extent cx="27527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F98"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97DF0" w:rsidRDefault="00697DF0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444C0" w:rsidRDefault="005444C0">
      <w:pPr>
        <w:spacing w:after="0" w:line="240" w:lineRule="auto"/>
      </w:pPr>
    </w:p>
    <w:p w:rsidR="00D8205D" w:rsidRDefault="00F4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  <w:r w:rsidR="00D8205D" w:rsidRPr="00D8205D">
        <w:rPr>
          <w:rFonts w:ascii="Times New Roman" w:hAnsi="Times New Roman" w:cs="Times New Roman"/>
          <w:sz w:val="24"/>
          <w:szCs w:val="24"/>
        </w:rPr>
        <w:t>:</w:t>
      </w:r>
    </w:p>
    <w:p w:rsidR="00D8205D" w:rsidRPr="00D8205D" w:rsidRDefault="00D8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07B" w:rsidRPr="00520740" w:rsidRDefault="00D8205D" w:rsidP="00CA4611">
      <w:pPr>
        <w:spacing w:after="0" w:line="240" w:lineRule="auto"/>
        <w:ind w:left="1305" w:hanging="1305"/>
        <w:rPr>
          <w:rFonts w:ascii="Times New Roman" w:hAnsi="Times New Roman" w:cs="Times New Roman"/>
          <w:sz w:val="24"/>
          <w:szCs w:val="24"/>
        </w:rPr>
      </w:pPr>
      <w:r w:rsidRPr="00D8205D">
        <w:rPr>
          <w:rFonts w:ascii="Times New Roman" w:hAnsi="Times New Roman" w:cs="Times New Roman"/>
          <w:sz w:val="24"/>
          <w:szCs w:val="24"/>
        </w:rPr>
        <w:t>Exhibit A</w:t>
      </w:r>
      <w:r w:rsidR="00F45F7D">
        <w:rPr>
          <w:rFonts w:ascii="Times New Roman" w:hAnsi="Times New Roman" w:cs="Times New Roman"/>
          <w:sz w:val="24"/>
          <w:szCs w:val="24"/>
        </w:rPr>
        <w:tab/>
      </w:r>
      <w:r w:rsidR="00404501">
        <w:rPr>
          <w:rFonts w:ascii="Times New Roman" w:eastAsia="Calibri" w:hAnsi="Times New Roman" w:cs="Times New Roman"/>
          <w:sz w:val="24"/>
          <w:szCs w:val="24"/>
        </w:rPr>
        <w:t xml:space="preserve">Rulebook Appendix B: </w:t>
      </w:r>
      <w:r w:rsidR="00404501" w:rsidRPr="00B6160A">
        <w:rPr>
          <w:rFonts w:ascii="Times New Roman" w:eastAsia="Calibri" w:hAnsi="Times New Roman" w:cs="Times New Roman"/>
          <w:sz w:val="24"/>
          <w:szCs w:val="24"/>
        </w:rPr>
        <w:t>Table of Position Limits</w:t>
      </w:r>
      <w:r w:rsidR="00F41104">
        <w:rPr>
          <w:rFonts w:ascii="Times New Roman" w:eastAsia="Calibri" w:hAnsi="Times New Roman" w:cs="Times New Roman"/>
          <w:sz w:val="24"/>
          <w:szCs w:val="24"/>
        </w:rPr>
        <w:t>,</w:t>
      </w:r>
      <w:r w:rsidR="00404501" w:rsidRPr="00B6160A">
        <w:rPr>
          <w:rFonts w:ascii="Times New Roman" w:eastAsia="Calibri" w:hAnsi="Times New Roman" w:cs="Times New Roman"/>
          <w:sz w:val="24"/>
          <w:szCs w:val="24"/>
        </w:rPr>
        <w:t xml:space="preserve"> Position Accountability </w:t>
      </w:r>
      <w:r w:rsidR="00404501" w:rsidRPr="00520740">
        <w:rPr>
          <w:rFonts w:ascii="Times New Roman" w:eastAsia="Calibri" w:hAnsi="Times New Roman" w:cs="Times New Roman"/>
          <w:sz w:val="24"/>
          <w:szCs w:val="24"/>
        </w:rPr>
        <w:t>Levels and Large Trader Reporting Levels</w:t>
      </w:r>
      <w:r w:rsidR="00F45F7D">
        <w:rPr>
          <w:rFonts w:ascii="Times New Roman" w:eastAsia="Calibri" w:hAnsi="Times New Roman" w:cs="Times New Roman"/>
          <w:sz w:val="24"/>
          <w:szCs w:val="24"/>
        </w:rPr>
        <w:t xml:space="preserve"> (attached under separate cover)</w:t>
      </w:r>
    </w:p>
    <w:sectPr w:rsidR="002B607B" w:rsidRPr="00520740" w:rsidSect="005444C0">
      <w:headerReference w:type="default" r:id="rId15"/>
      <w:headerReference w:type="first" r:id="rId16"/>
      <w:footerReference w:type="first" r:id="rId17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98" w:rsidRDefault="00B67098">
      <w:r>
        <w:separator/>
      </w:r>
    </w:p>
  </w:endnote>
  <w:endnote w:type="continuationSeparator" w:id="0">
    <w:p w:rsidR="00B67098" w:rsidRDefault="00B6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89F925E-BCBD-4E64-898B-8A8138EAC1F6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Default="00B67098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5099721" wp14:editId="0BF7C301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0" name="Picture 20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98" w:rsidRDefault="00B67098">
      <w:r>
        <w:separator/>
      </w:r>
    </w:p>
  </w:footnote>
  <w:footnote w:type="continuationSeparator" w:id="0">
    <w:p w:rsidR="00B67098" w:rsidRDefault="00B67098">
      <w:r>
        <w:continuationSeparator/>
      </w:r>
    </w:p>
  </w:footnote>
  <w:footnote w:id="1">
    <w:p w:rsidR="00E1138C" w:rsidRPr="005D45D7" w:rsidRDefault="00E1138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D45D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D45D7">
        <w:rPr>
          <w:rFonts w:ascii="Times New Roman" w:hAnsi="Times New Roman" w:cs="Times New Roman"/>
          <w:sz w:val="24"/>
          <w:szCs w:val="24"/>
        </w:rPr>
        <w:t xml:space="preserve"> </w:t>
      </w:r>
      <w:r w:rsidR="00D21BA8" w:rsidRPr="005D45D7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5D45D7" w:rsidRPr="005D45D7">
        <w:rPr>
          <w:rFonts w:ascii="Times New Roman" w:hAnsi="Times New Roman" w:cs="Times New Roman"/>
          <w:sz w:val="24"/>
          <w:szCs w:val="24"/>
        </w:rPr>
        <w:t xml:space="preserve"> SR-NFX-2015-10 filed </w:t>
      </w:r>
      <w:r w:rsidR="005D45D7">
        <w:rPr>
          <w:rFonts w:ascii="Times New Roman" w:hAnsi="Times New Roman" w:cs="Times New Roman"/>
          <w:sz w:val="24"/>
          <w:szCs w:val="24"/>
        </w:rPr>
        <w:t>March 11, 2015</w:t>
      </w:r>
      <w:r w:rsidR="005D45D7" w:rsidRPr="005D45D7">
        <w:rPr>
          <w:rFonts w:ascii="Times New Roman" w:hAnsi="Times New Roman" w:cs="Times New Roman"/>
          <w:sz w:val="24"/>
          <w:szCs w:val="24"/>
        </w:rPr>
        <w:t>, in which the Exchange proposes to list certain energy futures and futures options</w:t>
      </w:r>
      <w:r w:rsidR="00646CD4">
        <w:rPr>
          <w:rFonts w:ascii="Times New Roman" w:hAnsi="Times New Roman" w:cs="Times New Roman"/>
          <w:sz w:val="24"/>
          <w:szCs w:val="24"/>
        </w:rPr>
        <w:t xml:space="preserve"> (the “</w:t>
      </w:r>
      <w:r w:rsidR="00646CD4" w:rsidRPr="00646CD4">
        <w:rPr>
          <w:rFonts w:ascii="Times New Roman" w:hAnsi="Times New Roman" w:cs="Times New Roman"/>
          <w:sz w:val="24"/>
          <w:szCs w:val="24"/>
          <w:u w:val="single"/>
        </w:rPr>
        <w:t>Energy Contracts</w:t>
      </w:r>
      <w:r w:rsidR="00646CD4">
        <w:rPr>
          <w:rFonts w:ascii="Times New Roman" w:hAnsi="Times New Roman" w:cs="Times New Roman"/>
          <w:sz w:val="24"/>
          <w:szCs w:val="24"/>
        </w:rPr>
        <w:t>”)</w:t>
      </w:r>
      <w:r w:rsidR="005D45D7" w:rsidRPr="005D45D7">
        <w:rPr>
          <w:rFonts w:ascii="Times New Roman" w:hAnsi="Times New Roman" w:cs="Times New Roman"/>
          <w:sz w:val="24"/>
          <w:szCs w:val="24"/>
        </w:rPr>
        <w:t xml:space="preserve"> on or after June 1, 2015, on a date to be announced by the Exchange through the issuance of a Futures Regulatory Alert</w:t>
      </w:r>
    </w:p>
  </w:footnote>
  <w:footnote w:id="2">
    <w:p w:rsidR="00646CD4" w:rsidRPr="00646CD4" w:rsidRDefault="00646CD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46CD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46CD4">
        <w:rPr>
          <w:rFonts w:ascii="Times New Roman" w:hAnsi="Times New Roman" w:cs="Times New Roman"/>
          <w:sz w:val="24"/>
          <w:szCs w:val="24"/>
        </w:rPr>
        <w:t xml:space="preserve">   The changes marked on Exhibit A hereto reflect changes from the Position Limits Table as originally filed on March 11, 2015 in SR-NFX-2015-10.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B67098" w:rsidRPr="00E65D41" w:rsidRDefault="00F45F7D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May </w:t>
    </w:r>
    <w:r w:rsidR="00D21BA8">
      <w:rPr>
        <w:rFonts w:ascii="Times New Roman" w:eastAsia="Calibri" w:hAnsi="Times New Roman" w:cs="Times New Roman"/>
        <w:sz w:val="20"/>
        <w:szCs w:val="20"/>
      </w:rPr>
      <w:t>29</w:t>
    </w:r>
    <w:r w:rsidR="00E65D41" w:rsidRPr="006060F8">
      <w:rPr>
        <w:rFonts w:ascii="Times New Roman" w:eastAsia="Calibri" w:hAnsi="Times New Roman" w:cs="Times New Roman"/>
        <w:sz w:val="20"/>
        <w:szCs w:val="20"/>
      </w:rPr>
      <w:t>,</w:t>
    </w:r>
    <w:r w:rsidR="00E65D41" w:rsidRPr="00E65D41">
      <w:rPr>
        <w:rFonts w:ascii="Times New Roman" w:eastAsia="Calibri" w:hAnsi="Times New Roman" w:cs="Times New Roman"/>
        <w:sz w:val="20"/>
        <w:szCs w:val="20"/>
      </w:rPr>
      <w:t xml:space="preserve"> 2015</w:t>
    </w:r>
  </w:p>
  <w:p w:rsidR="005444C0" w:rsidRDefault="00E65D41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SR-NFX-2015-</w:t>
    </w:r>
    <w:r w:rsidR="00CA4611">
      <w:rPr>
        <w:rFonts w:ascii="Times New Roman" w:hAnsi="Times New Roman" w:cs="Times New Roman"/>
        <w:sz w:val="20"/>
        <w:szCs w:val="20"/>
      </w:rPr>
      <w:t>34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26375B">
      <w:rPr>
        <w:rFonts w:ascii="Times New Roman" w:hAnsi="Times New Roman" w:cs="Times New Roman"/>
        <w:noProof/>
        <w:sz w:val="20"/>
        <w:szCs w:val="20"/>
      </w:rPr>
      <w:t>3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C3" w:rsidRDefault="00C532C3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C532C3" w:rsidRDefault="00C532C3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 wp14:anchorId="4D9E30F8" wp14:editId="48C97E93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098" w:rsidRDefault="00874F94" w:rsidP="00874F94">
    <w:pPr>
      <w:tabs>
        <w:tab w:val="left" w:pos="6915"/>
      </w:tabs>
      <w:spacing w:after="960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34A40"/>
    <w:multiLevelType w:val="hybridMultilevel"/>
    <w:tmpl w:val="73D06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F5665"/>
    <w:multiLevelType w:val="hybridMultilevel"/>
    <w:tmpl w:val="7124EF54"/>
    <w:lvl w:ilvl="0" w:tplc="3F76F49A">
      <w:start w:val="2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C53A0"/>
    <w:multiLevelType w:val="hybridMultilevel"/>
    <w:tmpl w:val="82CC35D0"/>
    <w:lvl w:ilvl="0" w:tplc="1F928D0C">
      <w:start w:val="2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D7BD3"/>
    <w:multiLevelType w:val="hybridMultilevel"/>
    <w:tmpl w:val="9EB8917E"/>
    <w:lvl w:ilvl="0" w:tplc="023E6CAC">
      <w:start w:val="1"/>
      <w:numFmt w:val="upperLetter"/>
      <w:lvlText w:val="(%1)"/>
      <w:lvlJc w:val="left"/>
      <w:pPr>
        <w:ind w:left="16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9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0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9"/>
  </w:num>
  <w:num w:numId="23">
    <w:abstractNumId w:val="11"/>
  </w:num>
  <w:num w:numId="24">
    <w:abstractNumId w:val="10"/>
  </w:num>
  <w:num w:numId="25">
    <w:abstractNumId w:val="20"/>
  </w:num>
  <w:num w:numId="26">
    <w:abstractNumId w:val="19"/>
  </w:num>
  <w:num w:numId="27">
    <w:abstractNumId w:val="20"/>
  </w:num>
  <w:num w:numId="28">
    <w:abstractNumId w:val="19"/>
  </w:num>
  <w:num w:numId="29">
    <w:abstractNumId w:val="16"/>
  </w:num>
  <w:num w:numId="30">
    <w:abstractNumId w:val="17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041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57EF5"/>
    <w:rsid w:val="000B227C"/>
    <w:rsid w:val="00166B51"/>
    <w:rsid w:val="00197F73"/>
    <w:rsid w:val="001A663C"/>
    <w:rsid w:val="001D1598"/>
    <w:rsid w:val="002225EA"/>
    <w:rsid w:val="0026375B"/>
    <w:rsid w:val="002A147E"/>
    <w:rsid w:val="002B607B"/>
    <w:rsid w:val="003101B8"/>
    <w:rsid w:val="00316950"/>
    <w:rsid w:val="00337B63"/>
    <w:rsid w:val="00404501"/>
    <w:rsid w:val="00425E24"/>
    <w:rsid w:val="00430635"/>
    <w:rsid w:val="00434506"/>
    <w:rsid w:val="004416D1"/>
    <w:rsid w:val="004623F3"/>
    <w:rsid w:val="00467A8A"/>
    <w:rsid w:val="004B21DD"/>
    <w:rsid w:val="00520740"/>
    <w:rsid w:val="0052408E"/>
    <w:rsid w:val="005444C0"/>
    <w:rsid w:val="00546B67"/>
    <w:rsid w:val="0055465F"/>
    <w:rsid w:val="0055547F"/>
    <w:rsid w:val="005B121C"/>
    <w:rsid w:val="005D1BE8"/>
    <w:rsid w:val="005D45D7"/>
    <w:rsid w:val="005E244B"/>
    <w:rsid w:val="005F37FE"/>
    <w:rsid w:val="006060F8"/>
    <w:rsid w:val="00607AC3"/>
    <w:rsid w:val="00615BE5"/>
    <w:rsid w:val="00624FBE"/>
    <w:rsid w:val="00645538"/>
    <w:rsid w:val="00646CD4"/>
    <w:rsid w:val="00662BF1"/>
    <w:rsid w:val="00672BD3"/>
    <w:rsid w:val="00697DF0"/>
    <w:rsid w:val="00723F8E"/>
    <w:rsid w:val="007475DB"/>
    <w:rsid w:val="00752A6A"/>
    <w:rsid w:val="00753E0F"/>
    <w:rsid w:val="007639CF"/>
    <w:rsid w:val="00765087"/>
    <w:rsid w:val="007A1A01"/>
    <w:rsid w:val="007C73AE"/>
    <w:rsid w:val="007D3BC8"/>
    <w:rsid w:val="007D75A1"/>
    <w:rsid w:val="007F2F06"/>
    <w:rsid w:val="00803051"/>
    <w:rsid w:val="00853F0C"/>
    <w:rsid w:val="00874F94"/>
    <w:rsid w:val="008917C2"/>
    <w:rsid w:val="008A7506"/>
    <w:rsid w:val="008D0EA0"/>
    <w:rsid w:val="008D7F17"/>
    <w:rsid w:val="008E113C"/>
    <w:rsid w:val="00900569"/>
    <w:rsid w:val="00901585"/>
    <w:rsid w:val="009325A9"/>
    <w:rsid w:val="00950900"/>
    <w:rsid w:val="00956A4D"/>
    <w:rsid w:val="009A5CFC"/>
    <w:rsid w:val="00A31A39"/>
    <w:rsid w:val="00A57ABD"/>
    <w:rsid w:val="00A8601A"/>
    <w:rsid w:val="00AB4A64"/>
    <w:rsid w:val="00B15314"/>
    <w:rsid w:val="00B16521"/>
    <w:rsid w:val="00B6160A"/>
    <w:rsid w:val="00B67098"/>
    <w:rsid w:val="00B8408C"/>
    <w:rsid w:val="00BD12A3"/>
    <w:rsid w:val="00BD5CEB"/>
    <w:rsid w:val="00BF0157"/>
    <w:rsid w:val="00BF2D2F"/>
    <w:rsid w:val="00C02F3E"/>
    <w:rsid w:val="00C532C3"/>
    <w:rsid w:val="00C628A0"/>
    <w:rsid w:val="00C72554"/>
    <w:rsid w:val="00CA4611"/>
    <w:rsid w:val="00CB68E4"/>
    <w:rsid w:val="00CB6A80"/>
    <w:rsid w:val="00CE4500"/>
    <w:rsid w:val="00CF1497"/>
    <w:rsid w:val="00D04F4F"/>
    <w:rsid w:val="00D14AB2"/>
    <w:rsid w:val="00D21BA8"/>
    <w:rsid w:val="00D363E4"/>
    <w:rsid w:val="00D464F1"/>
    <w:rsid w:val="00D748C8"/>
    <w:rsid w:val="00D76D7F"/>
    <w:rsid w:val="00D8205D"/>
    <w:rsid w:val="00E1138C"/>
    <w:rsid w:val="00E462DD"/>
    <w:rsid w:val="00E65D41"/>
    <w:rsid w:val="00E87CE2"/>
    <w:rsid w:val="00E96318"/>
    <w:rsid w:val="00EB0824"/>
    <w:rsid w:val="00EC12B3"/>
    <w:rsid w:val="00EC1F98"/>
    <w:rsid w:val="00F06CCD"/>
    <w:rsid w:val="00F41104"/>
    <w:rsid w:val="00F45F7D"/>
    <w:rsid w:val="00FB7B2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205D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ol-1">
    <w:name w:val="ol-1"/>
    <w:basedOn w:val="Normal"/>
    <w:rsid w:val="00D8205D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q-1">
    <w:name w:val="bq-1"/>
    <w:basedOn w:val="Normal"/>
    <w:rsid w:val="00D8205D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A860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601A"/>
    <w:rPr>
      <w:rFonts w:asciiTheme="minorHAnsi" w:eastAsiaTheme="minorHAnsi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8601A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character" w:styleId="Emphasis">
    <w:name w:val="Emphasis"/>
    <w:basedOn w:val="DefaultParagraphFont"/>
    <w:qFormat/>
    <w:rsid w:val="008917C2"/>
    <w:rPr>
      <w:i/>
      <w:iCs/>
    </w:rPr>
  </w:style>
  <w:style w:type="paragraph" w:styleId="FootnoteText">
    <w:name w:val="footnote text"/>
    <w:basedOn w:val="Normal"/>
    <w:link w:val="FootnoteTextChar"/>
    <w:rsid w:val="0060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0F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6060F8"/>
    <w:rPr>
      <w:vertAlign w:val="superscript"/>
    </w:rPr>
  </w:style>
  <w:style w:type="paragraph" w:customStyle="1" w:styleId="Default">
    <w:name w:val="Default"/>
    <w:rsid w:val="004045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4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205D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ol-1">
    <w:name w:val="ol-1"/>
    <w:basedOn w:val="Normal"/>
    <w:rsid w:val="00D8205D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q-1">
    <w:name w:val="bq-1"/>
    <w:basedOn w:val="Normal"/>
    <w:rsid w:val="00D8205D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rsid w:val="00A860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601A"/>
    <w:rPr>
      <w:rFonts w:asciiTheme="minorHAnsi" w:eastAsiaTheme="minorHAnsi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8601A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character" w:styleId="Emphasis">
    <w:name w:val="Emphasis"/>
    <w:basedOn w:val="DefaultParagraphFont"/>
    <w:qFormat/>
    <w:rsid w:val="008917C2"/>
    <w:rPr>
      <w:i/>
      <w:iCs/>
    </w:rPr>
  </w:style>
  <w:style w:type="paragraph" w:styleId="FootnoteText">
    <w:name w:val="footnote text"/>
    <w:basedOn w:val="Normal"/>
    <w:link w:val="FootnoteTextChar"/>
    <w:rsid w:val="0060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0F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6060F8"/>
    <w:rPr>
      <w:vertAlign w:val="superscript"/>
    </w:rPr>
  </w:style>
  <w:style w:type="paragraph" w:customStyle="1" w:styleId="Default">
    <w:name w:val="Default"/>
    <w:rsid w:val="004045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4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7326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SDAQOMX.COM/NASDAQ-FUTU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ASDAQOMX.COM/NASDAQ-FUTUR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B7D88F4426F1AC4D9B04FB3C0F5879DD" ma:contentTypeVersion="0" ma:contentTypeDescription="" ma:contentTypeScope="" ma:versionID="25afcd2e7cf268122dfe98a0588bb3df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61c72a51-0635-4000-bf9f-3785708456cd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2015-05-29T19:48:47+00:00</Document_x0020_Date>
    <Document_x0020_No xmlns="4b47aac5-4c46-444f-8595-ce09b406fc61">17131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C396-0B15-4BC1-822E-27E65B924EED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101CBF58-7274-4582-A65E-87A8B294A4FE}"/>
</file>

<file path=customXml/itemProps5.xml><?xml version="1.0" encoding="utf-8"?>
<ds:datastoreItem xmlns:ds="http://schemas.openxmlformats.org/officeDocument/2006/customXml" ds:itemID="{CBA8BE98-06BF-4FE5-BC80-F0162A2291BB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0</TotalTime>
  <Pages>3</Pages>
  <Words>709</Words>
  <Characters>4045</Characters>
  <Application>Microsoft Office Word</Application>
  <DocSecurity>6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SR-NFX-2015-34</dc:title>
  <dc:creator>Shari Bradford</dc:creator>
  <cp:lastModifiedBy>Carla Behnfeldt</cp:lastModifiedBy>
  <cp:revision>2</cp:revision>
  <cp:lastPrinted>2008-04-01T17:51:00Z</cp:lastPrinted>
  <dcterms:created xsi:type="dcterms:W3CDTF">2015-05-29T18:55:00Z</dcterms:created>
  <dcterms:modified xsi:type="dcterms:W3CDTF">2015-05-29T18:55:00Z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0x01010045B0BEB1BCDC4B408D1662109AEB463800B7D88F4426F1AC4D9B04FB3C0F5879DD</vt:lpwstr>
  </property>
  <property fmtid="{D5CDD505-2E9C-101B-9397-08002B2CF9AE}" pid="3" name="_CopySource">
    <vt:lpwstr>\Cftc.gov</vt:lpwstr>
  </property>
  <property fmtid="{D5CDD505-2E9C-101B-9397-08002B2CF9AE}" pid="4" name="Order">
    <vt:r8>1102400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