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5e5a6d9d-a1f0-4708-a2d2-83b6d2ce6bd4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2017-06-15T21:51:44+00:00</Document_x0020_Date>
    <Document_x0020_No xmlns="4b47aac5-4c46-444f-8595-ce09b406fc61">31434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4DBB-FB22-43D6-B931-CACC22CD5DD6}"/>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1C71F8B5-40B8-4246-804D-CB156B1926B9}"/>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3924500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