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b59633a4-be96-4d98-8299-b8812c04bc4a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2018-06-19T21:14:38+00:00</Document_x0020_Date>
    <Document_x0020_No xmlns="4b47aac5-4c46-444f-8595-ce09b406fc61">40086</Document_x0020_No>
  </documentManagement>
</p:properties>
</file>

<file path=customXml/itemProps1.xml><?xml version="1.0" encoding="utf-8"?>
<ds:datastoreItem xmlns:ds="http://schemas.openxmlformats.org/officeDocument/2006/customXml" ds:itemID="{876044C5-E091-4205-82D2-31E0A19CDCA7}"/>
</file>

<file path=customXml/itemProps2.xml><?xml version="1.0" encoding="utf-8"?>
<ds:datastoreItem xmlns:ds="http://schemas.openxmlformats.org/officeDocument/2006/customXml" ds:itemID="{8727F1B6-0038-46C4-8D2D-1D81E0DE190C}"/>
</file>

<file path=customXml/itemProps3.xml><?xml version="1.0" encoding="utf-8"?>
<ds:datastoreItem xmlns:ds="http://schemas.openxmlformats.org/officeDocument/2006/customXml" ds:itemID="{3B2B671A-9D37-411A-98AB-9D736E02CA40}"/>
</file>

<file path=customXml/itemProps4.xml><?xml version="1.0" encoding="utf-8"?>
<ds:datastoreItem xmlns:ds="http://schemas.openxmlformats.org/officeDocument/2006/customXml" ds:itemID="{642A6BF5-0C8F-4F05-87CF-1F9D5EC2A358}"/>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