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45C" w:rsidRPr="00B43E64" w:rsidRDefault="00C764C1" w:rsidP="00823FCB">
      <w:pPr>
        <w:pStyle w:val="NASDAQHeader"/>
      </w:pPr>
      <w:r>
        <w:rPr>
          <w:noProof/>
          <w:lang w:eastAsia="en-US"/>
        </w:rPr>
        <w:drawing>
          <wp:anchor distT="0" distB="0" distL="114300" distR="114300" simplePos="0" relativeHeight="251662336" behindDoc="0" locked="0" layoutInCell="1" allowOverlap="1">
            <wp:simplePos x="0" y="0"/>
            <wp:positionH relativeFrom="column">
              <wp:posOffset>-447675</wp:posOffset>
            </wp:positionH>
            <wp:positionV relativeFrom="paragraph">
              <wp:posOffset>-695325</wp:posOffset>
            </wp:positionV>
            <wp:extent cx="2282825" cy="65024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120_nasdaqlogo_oct201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2825" cy="650240"/>
                    </a:xfrm>
                    <a:prstGeom prst="rect">
                      <a:avLst/>
                    </a:prstGeom>
                  </pic:spPr>
                </pic:pic>
              </a:graphicData>
            </a:graphic>
            <wp14:sizeRelH relativeFrom="page">
              <wp14:pctWidth>0</wp14:pctWidth>
            </wp14:sizeRelH>
            <wp14:sizeRelV relativeFrom="page">
              <wp14:pctHeight>0</wp14:pctHeight>
            </wp14:sizeRelV>
          </wp:anchor>
        </w:drawing>
      </w:r>
      <w:r w:rsidR="00E668E7">
        <w:t>U.S. DV01 TREASURY</w:t>
      </w:r>
      <w:r w:rsidR="00DD2A80">
        <w:t xml:space="preserve"> FUTURES</w:t>
      </w:r>
    </w:p>
    <w:p w:rsidR="00CB345C" w:rsidRDefault="00CB345C" w:rsidP="00823FCB">
      <w:pPr>
        <w:pStyle w:val="Heading2"/>
      </w:pPr>
      <w:r w:rsidRPr="00B43E64">
        <w:t>NASDAQ FUTURES, INC. (NFX) CONTRACT SPECIFICATIONS</w:t>
      </w:r>
    </w:p>
    <w:p w:rsidR="00DD2A80" w:rsidRPr="00DD2A80" w:rsidRDefault="00DD2A80" w:rsidP="00DD2A80">
      <w:pPr>
        <w:rPr>
          <w:sz w:val="2"/>
          <w:szCs w:val="2"/>
          <w:lang w:eastAsia="ja-JP"/>
        </w:rPr>
      </w:pPr>
      <w:bookmarkStart w:id="0" w:name="_GoBack"/>
      <w:bookmarkEnd w:id="0"/>
    </w:p>
    <w:tbl>
      <w:tblPr>
        <w:tblW w:w="10890" w:type="dxa"/>
        <w:tblInd w:w="-725" w:type="dxa"/>
        <w:tblLook w:val="04A0" w:firstRow="1" w:lastRow="0" w:firstColumn="1" w:lastColumn="0" w:noHBand="0" w:noVBand="1"/>
      </w:tblPr>
      <w:tblGrid>
        <w:gridCol w:w="2430"/>
        <w:gridCol w:w="8460"/>
      </w:tblGrid>
      <w:tr w:rsidR="00CB345C" w:rsidRPr="008E4618" w:rsidTr="00023BC3">
        <w:trPr>
          <w:trHeight w:val="755"/>
        </w:trPr>
        <w:tc>
          <w:tcPr>
            <w:tcW w:w="2430" w:type="dxa"/>
            <w:tcBorders>
              <w:top w:val="single" w:sz="4" w:space="0" w:color="6BBACF"/>
              <w:left w:val="single" w:sz="4" w:space="0" w:color="FFFFFF"/>
              <w:bottom w:val="single" w:sz="4" w:space="0" w:color="6BBACF"/>
              <w:right w:val="single" w:sz="4" w:space="0" w:color="6BBACF"/>
            </w:tcBorders>
            <w:shd w:val="clear" w:color="000000" w:fill="CDE8EF"/>
            <w:noWrap/>
            <w:vAlign w:val="center"/>
            <w:hideMark/>
          </w:tcPr>
          <w:p w:rsidR="00CB345C" w:rsidRPr="008E4618" w:rsidRDefault="00CB345C" w:rsidP="000B0E55">
            <w:pPr>
              <w:spacing w:after="0" w:line="240" w:lineRule="auto"/>
              <w:jc w:val="center"/>
              <w:rPr>
                <w:rFonts w:ascii="Calibri" w:eastAsia="Times New Roman" w:hAnsi="Calibri" w:cs="Times New Roman"/>
                <w:color w:val="000000"/>
                <w:sz w:val="18"/>
                <w:szCs w:val="18"/>
              </w:rPr>
            </w:pPr>
            <w:r w:rsidRPr="008E4618">
              <w:rPr>
                <w:rFonts w:ascii="Calibri" w:eastAsia="Times New Roman" w:hAnsi="Calibri" w:cs="Times New Roman"/>
                <w:color w:val="000000"/>
                <w:sz w:val="18"/>
                <w:szCs w:val="18"/>
              </w:rPr>
              <w:t>CONTRACT NAME</w:t>
            </w:r>
          </w:p>
        </w:tc>
        <w:tc>
          <w:tcPr>
            <w:tcW w:w="8460" w:type="dxa"/>
            <w:tcBorders>
              <w:top w:val="single" w:sz="4" w:space="0" w:color="6BBACF"/>
              <w:left w:val="nil"/>
              <w:bottom w:val="single" w:sz="4" w:space="0" w:color="6BBACF"/>
              <w:right w:val="single" w:sz="4" w:space="0" w:color="FFFFFF"/>
            </w:tcBorders>
            <w:shd w:val="clear" w:color="auto" w:fill="auto"/>
            <w:noWrap/>
            <w:vAlign w:val="center"/>
          </w:tcPr>
          <w:p w:rsidR="00E668E7" w:rsidRPr="00E668E7" w:rsidRDefault="00E668E7" w:rsidP="00E668E7">
            <w:pPr>
              <w:spacing w:after="0" w:line="240" w:lineRule="auto"/>
              <w:rPr>
                <w:rFonts w:ascii="Calibri" w:eastAsia="Times New Roman" w:hAnsi="Calibri" w:cs="Times New Roman"/>
                <w:color w:val="000000"/>
                <w:sz w:val="18"/>
                <w:szCs w:val="18"/>
              </w:rPr>
            </w:pPr>
            <w:r w:rsidRPr="00E668E7">
              <w:rPr>
                <w:rFonts w:ascii="Calibri" w:eastAsia="Times New Roman" w:hAnsi="Calibri" w:cs="Times New Roman"/>
                <w:color w:val="000000"/>
                <w:sz w:val="18"/>
                <w:szCs w:val="18"/>
              </w:rPr>
              <w:t>U.S. 2-YR DV01 Treasury Futures</w:t>
            </w:r>
            <w:r w:rsidR="000047B6">
              <w:rPr>
                <w:rFonts w:ascii="Calibri" w:eastAsia="Times New Roman" w:hAnsi="Calibri" w:cs="Times New Roman"/>
                <w:color w:val="000000"/>
                <w:sz w:val="18"/>
                <w:szCs w:val="18"/>
              </w:rPr>
              <w:t xml:space="preserve">             </w:t>
            </w:r>
            <w:r w:rsidR="00784AE4">
              <w:rPr>
                <w:rFonts w:ascii="Calibri" w:eastAsia="Times New Roman" w:hAnsi="Calibri" w:cs="Times New Roman"/>
                <w:color w:val="000000"/>
                <w:sz w:val="18"/>
                <w:szCs w:val="18"/>
              </w:rPr>
              <w:t xml:space="preserve">        </w:t>
            </w:r>
            <w:r w:rsidRPr="00E668E7">
              <w:rPr>
                <w:rFonts w:ascii="Calibri" w:eastAsia="Times New Roman" w:hAnsi="Calibri" w:cs="Times New Roman"/>
                <w:color w:val="000000"/>
                <w:sz w:val="18"/>
                <w:szCs w:val="18"/>
              </w:rPr>
              <w:t xml:space="preserve">U.S. </w:t>
            </w:r>
            <w:r w:rsidR="000047B6">
              <w:rPr>
                <w:rFonts w:ascii="Calibri" w:eastAsia="Times New Roman" w:hAnsi="Calibri" w:cs="Times New Roman"/>
                <w:color w:val="000000"/>
                <w:sz w:val="18"/>
                <w:szCs w:val="18"/>
              </w:rPr>
              <w:t>10</w:t>
            </w:r>
            <w:r w:rsidRPr="00E668E7">
              <w:rPr>
                <w:rFonts w:ascii="Calibri" w:eastAsia="Times New Roman" w:hAnsi="Calibri" w:cs="Times New Roman"/>
                <w:color w:val="000000"/>
                <w:sz w:val="18"/>
                <w:szCs w:val="18"/>
              </w:rPr>
              <w:t>-YR DV01 Treasury Futures</w:t>
            </w:r>
          </w:p>
          <w:p w:rsidR="00CB345C" w:rsidRPr="00C84B7C" w:rsidRDefault="00E668E7" w:rsidP="00544850">
            <w:pPr>
              <w:spacing w:after="0" w:line="240" w:lineRule="auto"/>
              <w:rPr>
                <w:rFonts w:ascii="Calibri" w:eastAsia="Times New Roman" w:hAnsi="Calibri" w:cs="Times New Roman"/>
                <w:color w:val="000000"/>
                <w:sz w:val="18"/>
                <w:szCs w:val="18"/>
              </w:rPr>
            </w:pPr>
            <w:r w:rsidRPr="00E668E7">
              <w:rPr>
                <w:rFonts w:ascii="Calibri" w:eastAsia="Times New Roman" w:hAnsi="Calibri" w:cs="Times New Roman"/>
                <w:color w:val="000000"/>
                <w:sz w:val="18"/>
                <w:szCs w:val="18"/>
              </w:rPr>
              <w:t xml:space="preserve">U.S. </w:t>
            </w:r>
            <w:r w:rsidR="000047B6">
              <w:rPr>
                <w:rFonts w:ascii="Calibri" w:eastAsia="Times New Roman" w:hAnsi="Calibri" w:cs="Times New Roman"/>
                <w:color w:val="000000"/>
                <w:sz w:val="18"/>
                <w:szCs w:val="18"/>
              </w:rPr>
              <w:t>5</w:t>
            </w:r>
            <w:r w:rsidRPr="00E668E7">
              <w:rPr>
                <w:rFonts w:ascii="Calibri" w:eastAsia="Times New Roman" w:hAnsi="Calibri" w:cs="Times New Roman"/>
                <w:color w:val="000000"/>
                <w:sz w:val="18"/>
                <w:szCs w:val="18"/>
              </w:rPr>
              <w:t>-YR DV01 Treasury Futures</w:t>
            </w:r>
            <w:r w:rsidR="000047B6">
              <w:rPr>
                <w:rFonts w:ascii="Calibri" w:eastAsia="Times New Roman" w:hAnsi="Calibri" w:cs="Times New Roman"/>
                <w:color w:val="000000"/>
                <w:sz w:val="18"/>
                <w:szCs w:val="18"/>
              </w:rPr>
              <w:t xml:space="preserve">           </w:t>
            </w:r>
            <w:r w:rsidR="00784AE4">
              <w:rPr>
                <w:rFonts w:ascii="Calibri" w:eastAsia="Times New Roman" w:hAnsi="Calibri" w:cs="Times New Roman"/>
                <w:color w:val="000000"/>
                <w:sz w:val="18"/>
                <w:szCs w:val="18"/>
              </w:rPr>
              <w:t xml:space="preserve">          </w:t>
            </w:r>
            <w:r w:rsidRPr="00E668E7">
              <w:rPr>
                <w:rFonts w:ascii="Calibri" w:eastAsia="Times New Roman" w:hAnsi="Calibri" w:cs="Times New Roman"/>
                <w:color w:val="000000"/>
                <w:sz w:val="18"/>
                <w:szCs w:val="18"/>
              </w:rPr>
              <w:t>U.S. 30-YR DV01 Treasury Futures</w:t>
            </w:r>
          </w:p>
        </w:tc>
      </w:tr>
      <w:tr w:rsidR="00CB345C" w:rsidRPr="008E4618" w:rsidTr="00E40BD5">
        <w:trPr>
          <w:trHeight w:val="1061"/>
        </w:trPr>
        <w:tc>
          <w:tcPr>
            <w:tcW w:w="2430" w:type="dxa"/>
            <w:tcBorders>
              <w:top w:val="nil"/>
              <w:left w:val="single" w:sz="4" w:space="0" w:color="FFFFFF"/>
              <w:bottom w:val="single" w:sz="4" w:space="0" w:color="6BBACF"/>
              <w:right w:val="single" w:sz="4" w:space="0" w:color="6BBACF"/>
            </w:tcBorders>
            <w:shd w:val="clear" w:color="000000" w:fill="A7D6E3"/>
            <w:noWrap/>
            <w:vAlign w:val="center"/>
            <w:hideMark/>
          </w:tcPr>
          <w:p w:rsidR="00CB345C" w:rsidRPr="008E4618" w:rsidRDefault="00CB345C" w:rsidP="000B0E55">
            <w:pPr>
              <w:spacing w:after="0" w:line="240" w:lineRule="auto"/>
              <w:jc w:val="center"/>
              <w:rPr>
                <w:rFonts w:ascii="Calibri" w:eastAsia="Times New Roman" w:hAnsi="Calibri" w:cs="Times New Roman"/>
                <w:color w:val="000000"/>
                <w:sz w:val="18"/>
                <w:szCs w:val="18"/>
              </w:rPr>
            </w:pPr>
            <w:r w:rsidRPr="008E4618">
              <w:rPr>
                <w:rFonts w:ascii="Calibri" w:eastAsia="Times New Roman" w:hAnsi="Calibri" w:cs="Times New Roman"/>
                <w:color w:val="000000"/>
                <w:sz w:val="18"/>
                <w:szCs w:val="18"/>
              </w:rPr>
              <w:t>DESCRIPTION</w:t>
            </w:r>
          </w:p>
        </w:tc>
        <w:tc>
          <w:tcPr>
            <w:tcW w:w="8460" w:type="dxa"/>
            <w:tcBorders>
              <w:top w:val="nil"/>
              <w:left w:val="nil"/>
              <w:bottom w:val="single" w:sz="4" w:space="0" w:color="6BBACF"/>
              <w:right w:val="single" w:sz="4" w:space="0" w:color="FFFFFF"/>
            </w:tcBorders>
            <w:shd w:val="clear" w:color="000000" w:fill="E6E6E6"/>
            <w:vAlign w:val="center"/>
          </w:tcPr>
          <w:p w:rsidR="00CB345C" w:rsidRPr="00C84B7C" w:rsidRDefault="00757113" w:rsidP="00D3772B">
            <w:pPr>
              <w:spacing w:after="0" w:line="240" w:lineRule="auto"/>
              <w:rPr>
                <w:rFonts w:ascii="Calibri" w:eastAsia="Times New Roman" w:hAnsi="Calibri" w:cs="Times New Roman"/>
                <w:color w:val="000000"/>
                <w:sz w:val="18"/>
                <w:szCs w:val="18"/>
              </w:rPr>
            </w:pPr>
            <w:r w:rsidRPr="00757113">
              <w:rPr>
                <w:rFonts w:ascii="Calibri" w:hAnsi="Calibri" w:cs="Times New Roman"/>
                <w:sz w:val="18"/>
                <w:szCs w:val="12"/>
              </w:rPr>
              <w:t>Cash settled On The Run U</w:t>
            </w:r>
            <w:r w:rsidR="00D3772B">
              <w:rPr>
                <w:rFonts w:ascii="Calibri" w:hAnsi="Calibri" w:cs="Times New Roman"/>
                <w:sz w:val="18"/>
                <w:szCs w:val="12"/>
              </w:rPr>
              <w:t>.</w:t>
            </w:r>
            <w:r w:rsidRPr="00757113">
              <w:rPr>
                <w:rFonts w:ascii="Calibri" w:hAnsi="Calibri" w:cs="Times New Roman"/>
                <w:sz w:val="18"/>
                <w:szCs w:val="12"/>
              </w:rPr>
              <w:t>S</w:t>
            </w:r>
            <w:r w:rsidR="00D3772B">
              <w:rPr>
                <w:rFonts w:ascii="Calibri" w:hAnsi="Calibri" w:cs="Times New Roman"/>
                <w:sz w:val="18"/>
                <w:szCs w:val="12"/>
              </w:rPr>
              <w:t>.</w:t>
            </w:r>
            <w:r w:rsidRPr="00757113">
              <w:rPr>
                <w:rFonts w:ascii="Calibri" w:hAnsi="Calibri" w:cs="Times New Roman"/>
                <w:sz w:val="18"/>
                <w:szCs w:val="12"/>
              </w:rPr>
              <w:t xml:space="preserve"> Treasury expressed as 100 minus the yield of the corresponding U</w:t>
            </w:r>
            <w:r w:rsidR="00D3772B">
              <w:rPr>
                <w:rFonts w:ascii="Calibri" w:hAnsi="Calibri" w:cs="Times New Roman"/>
                <w:sz w:val="18"/>
                <w:szCs w:val="12"/>
              </w:rPr>
              <w:t>.</w:t>
            </w:r>
            <w:r w:rsidRPr="00757113">
              <w:rPr>
                <w:rFonts w:ascii="Calibri" w:hAnsi="Calibri" w:cs="Times New Roman"/>
                <w:sz w:val="18"/>
                <w:szCs w:val="12"/>
              </w:rPr>
              <w:t>S</w:t>
            </w:r>
            <w:r w:rsidR="00D3772B">
              <w:rPr>
                <w:rFonts w:ascii="Calibri" w:hAnsi="Calibri" w:cs="Times New Roman"/>
                <w:sz w:val="18"/>
                <w:szCs w:val="12"/>
              </w:rPr>
              <w:t>.</w:t>
            </w:r>
            <w:r w:rsidRPr="00757113">
              <w:rPr>
                <w:rFonts w:ascii="Calibri" w:hAnsi="Calibri" w:cs="Times New Roman"/>
                <w:sz w:val="18"/>
                <w:szCs w:val="12"/>
              </w:rPr>
              <w:t xml:space="preserve"> Treasury </w:t>
            </w:r>
            <w:r w:rsidR="00AC4F43">
              <w:rPr>
                <w:rFonts w:ascii="Calibri" w:hAnsi="Calibri" w:cs="Times New Roman"/>
                <w:sz w:val="18"/>
                <w:szCs w:val="12"/>
              </w:rPr>
              <w:t>Note or bond (UST 2yr yield 1.98%; 100-1.98 = 98.02</w:t>
            </w:r>
            <w:r w:rsidRPr="00757113">
              <w:rPr>
                <w:rFonts w:ascii="Calibri" w:hAnsi="Calibri" w:cs="Times New Roman"/>
                <w:sz w:val="18"/>
                <w:szCs w:val="12"/>
              </w:rPr>
              <w:t xml:space="preserve">).  The minimum trading tick increment is equivalent to </w:t>
            </w:r>
            <w:r w:rsidR="00217C57">
              <w:rPr>
                <w:rFonts w:ascii="Calibri" w:hAnsi="Calibri" w:cs="Times New Roman"/>
                <w:sz w:val="18"/>
                <w:szCs w:val="12"/>
              </w:rPr>
              <w:t>two tenths (2YR) or one tenth (5YR, 10YR, 30YR)</w:t>
            </w:r>
            <w:r w:rsidR="00496C04">
              <w:rPr>
                <w:rFonts w:ascii="Calibri" w:hAnsi="Calibri" w:cs="Times New Roman"/>
                <w:sz w:val="18"/>
                <w:szCs w:val="12"/>
              </w:rPr>
              <w:t xml:space="preserve"> of </w:t>
            </w:r>
            <w:r w:rsidRPr="00757113">
              <w:rPr>
                <w:rFonts w:ascii="Calibri" w:hAnsi="Calibri" w:cs="Times New Roman"/>
                <w:sz w:val="18"/>
                <w:szCs w:val="12"/>
              </w:rPr>
              <w:t>the dollar value of one basis point (DV01)</w:t>
            </w:r>
            <w:r w:rsidR="00302086">
              <w:rPr>
                <w:rFonts w:ascii="Calibri" w:hAnsi="Calibri" w:cs="Times New Roman"/>
                <w:sz w:val="18"/>
                <w:szCs w:val="12"/>
              </w:rPr>
              <w:t xml:space="preserve"> </w:t>
            </w:r>
            <w:r w:rsidR="00302086" w:rsidRPr="00302086">
              <w:rPr>
                <w:rFonts w:ascii="Calibri" w:hAnsi="Calibri" w:cs="Times New Roman"/>
                <w:sz w:val="18"/>
                <w:szCs w:val="12"/>
              </w:rPr>
              <w:t>change in yield</w:t>
            </w:r>
            <w:r w:rsidRPr="00757113">
              <w:rPr>
                <w:rFonts w:ascii="Calibri" w:hAnsi="Calibri" w:cs="Times New Roman"/>
                <w:sz w:val="18"/>
                <w:szCs w:val="12"/>
              </w:rPr>
              <w:t xml:space="preserve"> of the current On The Run</w:t>
            </w:r>
            <w:r w:rsidR="00D3772B">
              <w:rPr>
                <w:rFonts w:ascii="Calibri" w:hAnsi="Calibri" w:cs="Times New Roman"/>
                <w:sz w:val="18"/>
                <w:szCs w:val="12"/>
              </w:rPr>
              <w:t xml:space="preserve"> U.S. Treasury</w:t>
            </w:r>
            <w:r w:rsidRPr="00757113">
              <w:rPr>
                <w:rFonts w:ascii="Calibri" w:hAnsi="Calibri" w:cs="Times New Roman"/>
                <w:sz w:val="18"/>
                <w:szCs w:val="12"/>
              </w:rPr>
              <w:t xml:space="preserve"> as defined in contract rules.</w:t>
            </w:r>
          </w:p>
        </w:tc>
      </w:tr>
      <w:tr w:rsidR="00CB345C" w:rsidRPr="008E4618" w:rsidTr="00FF1A24">
        <w:trPr>
          <w:trHeight w:val="496"/>
        </w:trPr>
        <w:tc>
          <w:tcPr>
            <w:tcW w:w="2430" w:type="dxa"/>
            <w:tcBorders>
              <w:top w:val="nil"/>
              <w:left w:val="nil"/>
              <w:bottom w:val="single" w:sz="4" w:space="0" w:color="6BBACF"/>
              <w:right w:val="single" w:sz="4" w:space="0" w:color="6BBACF"/>
            </w:tcBorders>
            <w:shd w:val="clear" w:color="000000" w:fill="CDE8EF"/>
            <w:noWrap/>
            <w:vAlign w:val="center"/>
            <w:hideMark/>
          </w:tcPr>
          <w:p w:rsidR="00CB345C" w:rsidRPr="008E4618" w:rsidRDefault="005E4986" w:rsidP="005E498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UNDERLYING INTEREST</w:t>
            </w:r>
          </w:p>
        </w:tc>
        <w:tc>
          <w:tcPr>
            <w:tcW w:w="8460" w:type="dxa"/>
            <w:tcBorders>
              <w:top w:val="nil"/>
              <w:left w:val="nil"/>
              <w:bottom w:val="single" w:sz="4" w:space="0" w:color="6BBACF"/>
              <w:right w:val="single" w:sz="4" w:space="0" w:color="FFFFFF"/>
            </w:tcBorders>
            <w:shd w:val="clear" w:color="auto" w:fill="auto"/>
            <w:noWrap/>
            <w:vAlign w:val="center"/>
          </w:tcPr>
          <w:p w:rsidR="00CB345C" w:rsidRPr="008E4618" w:rsidRDefault="00AB6D2B" w:rsidP="006B7F9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One hundred times the d</w:t>
            </w:r>
            <w:r w:rsidR="00BF55A1" w:rsidRPr="00BF55A1">
              <w:rPr>
                <w:rFonts w:ascii="Calibri" w:eastAsia="Times New Roman" w:hAnsi="Calibri" w:cs="Times New Roman"/>
                <w:color w:val="000000"/>
                <w:sz w:val="18"/>
                <w:szCs w:val="18"/>
              </w:rPr>
              <w:t xml:space="preserve">ollar value (DV01) assigned by the Exchange at the time of listing for each contract month, of a one basis point change in yield of the current </w:t>
            </w:r>
            <w:r w:rsidR="003B6D0D" w:rsidRPr="00757113">
              <w:rPr>
                <w:rFonts w:ascii="Calibri" w:hAnsi="Calibri" w:cs="Times New Roman"/>
                <w:sz w:val="18"/>
                <w:szCs w:val="12"/>
              </w:rPr>
              <w:t>On The Run</w:t>
            </w:r>
            <w:r w:rsidR="003B6D0D">
              <w:rPr>
                <w:rFonts w:ascii="Calibri" w:hAnsi="Calibri" w:cs="Times New Roman"/>
                <w:sz w:val="18"/>
                <w:szCs w:val="12"/>
              </w:rPr>
              <w:t xml:space="preserve"> U.S. Treasury</w:t>
            </w:r>
            <w:r w:rsidR="00BF55A1" w:rsidRPr="00BF55A1">
              <w:rPr>
                <w:rFonts w:ascii="Calibri" w:eastAsia="Times New Roman" w:hAnsi="Calibri" w:cs="Times New Roman"/>
                <w:color w:val="000000"/>
                <w:sz w:val="18"/>
                <w:szCs w:val="18"/>
              </w:rPr>
              <w:t xml:space="preserve"> </w:t>
            </w:r>
            <w:r w:rsidR="00BF55A1">
              <w:rPr>
                <w:rFonts w:ascii="Calibri" w:eastAsia="Times New Roman" w:hAnsi="Calibri" w:cs="Times New Roman"/>
                <w:color w:val="000000"/>
                <w:sz w:val="18"/>
                <w:szCs w:val="18"/>
              </w:rPr>
              <w:t>security</w:t>
            </w:r>
            <w:r w:rsidR="00BF55A1" w:rsidRPr="00BF55A1">
              <w:rPr>
                <w:rFonts w:ascii="Calibri" w:eastAsia="Times New Roman" w:hAnsi="Calibri" w:cs="Times New Roman"/>
                <w:color w:val="000000"/>
                <w:sz w:val="18"/>
                <w:szCs w:val="18"/>
              </w:rPr>
              <w:t xml:space="preserve"> with a face value of </w:t>
            </w:r>
            <w:r w:rsidR="00BF55A1">
              <w:rPr>
                <w:rFonts w:ascii="Calibri" w:eastAsia="Times New Roman" w:hAnsi="Calibri" w:cs="Times New Roman"/>
                <w:color w:val="000000"/>
                <w:sz w:val="18"/>
                <w:szCs w:val="18"/>
              </w:rPr>
              <w:t>$1,000,000</w:t>
            </w:r>
            <w:r w:rsidR="00BF55A1" w:rsidRPr="00BF55A1">
              <w:rPr>
                <w:rFonts w:ascii="Calibri" w:eastAsia="Times New Roman" w:hAnsi="Calibri" w:cs="Times New Roman"/>
                <w:color w:val="000000"/>
                <w:sz w:val="18"/>
                <w:szCs w:val="18"/>
              </w:rPr>
              <w:t xml:space="preserve"> having fixed semi-annual coupon payments.</w:t>
            </w:r>
          </w:p>
        </w:tc>
      </w:tr>
      <w:tr w:rsidR="00CB345C" w:rsidRPr="008E4618" w:rsidTr="00FF1A24">
        <w:trPr>
          <w:trHeight w:val="496"/>
        </w:trPr>
        <w:tc>
          <w:tcPr>
            <w:tcW w:w="2430" w:type="dxa"/>
            <w:tcBorders>
              <w:top w:val="nil"/>
              <w:left w:val="single" w:sz="4" w:space="0" w:color="FFFFFF"/>
              <w:bottom w:val="single" w:sz="4" w:space="0" w:color="6BBACF"/>
              <w:right w:val="single" w:sz="4" w:space="0" w:color="6BBACF"/>
            </w:tcBorders>
            <w:shd w:val="clear" w:color="000000" w:fill="A7D6E3"/>
            <w:noWrap/>
            <w:vAlign w:val="center"/>
            <w:hideMark/>
          </w:tcPr>
          <w:p w:rsidR="00CB345C" w:rsidRPr="008E4618" w:rsidRDefault="00CB345C" w:rsidP="000B0E55">
            <w:pPr>
              <w:spacing w:after="0" w:line="240" w:lineRule="auto"/>
              <w:jc w:val="center"/>
              <w:rPr>
                <w:rFonts w:ascii="Calibri" w:eastAsia="Times New Roman" w:hAnsi="Calibri" w:cs="Times New Roman"/>
                <w:color w:val="000000"/>
                <w:sz w:val="18"/>
                <w:szCs w:val="18"/>
              </w:rPr>
            </w:pPr>
            <w:r w:rsidRPr="008E4618">
              <w:rPr>
                <w:rFonts w:ascii="Calibri" w:eastAsia="Times New Roman" w:hAnsi="Calibri" w:cs="Times New Roman"/>
                <w:color w:val="000000"/>
                <w:sz w:val="18"/>
                <w:szCs w:val="18"/>
              </w:rPr>
              <w:t>TICKER SYMBOL</w:t>
            </w:r>
            <w:r w:rsidR="00A95432">
              <w:rPr>
                <w:rFonts w:ascii="Calibri" w:eastAsia="Times New Roman" w:hAnsi="Calibri" w:cs="Times New Roman"/>
                <w:color w:val="000000"/>
                <w:sz w:val="18"/>
                <w:szCs w:val="18"/>
              </w:rPr>
              <w:t>S</w:t>
            </w:r>
          </w:p>
        </w:tc>
        <w:tc>
          <w:tcPr>
            <w:tcW w:w="8460" w:type="dxa"/>
            <w:tcBorders>
              <w:top w:val="nil"/>
              <w:left w:val="nil"/>
              <w:bottom w:val="single" w:sz="4" w:space="0" w:color="6BBACF"/>
              <w:right w:val="single" w:sz="4" w:space="0" w:color="FFFFFF"/>
            </w:tcBorders>
            <w:shd w:val="clear" w:color="000000" w:fill="E6E6E6"/>
            <w:noWrap/>
            <w:vAlign w:val="center"/>
          </w:tcPr>
          <w:p w:rsidR="00CB345C" w:rsidRPr="008E4618" w:rsidRDefault="00757113" w:rsidP="001A3BD3">
            <w:pPr>
              <w:spacing w:after="0" w:line="240" w:lineRule="auto"/>
              <w:rPr>
                <w:rFonts w:ascii="Calibri" w:eastAsia="Times New Roman" w:hAnsi="Calibri" w:cs="Times New Roman"/>
                <w:color w:val="000000"/>
                <w:sz w:val="18"/>
                <w:szCs w:val="18"/>
              </w:rPr>
            </w:pPr>
            <w:r w:rsidRPr="00757113">
              <w:rPr>
                <w:rFonts w:ascii="Calibri" w:eastAsia="Times New Roman" w:hAnsi="Calibri" w:cs="Times New Roman"/>
                <w:color w:val="000000"/>
                <w:sz w:val="18"/>
                <w:szCs w:val="18"/>
              </w:rPr>
              <w:t>2-YR = TUD</w:t>
            </w:r>
            <w:r w:rsidR="002F6EE7">
              <w:rPr>
                <w:rFonts w:ascii="Calibri" w:eastAsia="Times New Roman" w:hAnsi="Calibri" w:cs="Times New Roman"/>
                <w:color w:val="000000"/>
                <w:sz w:val="18"/>
                <w:szCs w:val="18"/>
              </w:rPr>
              <w:t>V</w:t>
            </w:r>
            <w:r w:rsidR="00094199">
              <w:rPr>
                <w:rFonts w:ascii="Calibri" w:eastAsia="Times New Roman" w:hAnsi="Calibri" w:cs="Times New Roman"/>
                <w:color w:val="000000"/>
                <w:sz w:val="18"/>
                <w:szCs w:val="18"/>
              </w:rPr>
              <w:t xml:space="preserve">     </w:t>
            </w:r>
            <w:r w:rsidRPr="00757113">
              <w:rPr>
                <w:rFonts w:ascii="Calibri" w:eastAsia="Times New Roman" w:hAnsi="Calibri" w:cs="Times New Roman"/>
                <w:color w:val="000000"/>
                <w:sz w:val="18"/>
                <w:szCs w:val="18"/>
              </w:rPr>
              <w:t>5-YR = FVD</w:t>
            </w:r>
            <w:r w:rsidR="002F6EE7">
              <w:rPr>
                <w:rFonts w:ascii="Calibri" w:eastAsia="Times New Roman" w:hAnsi="Calibri" w:cs="Times New Roman"/>
                <w:color w:val="000000"/>
                <w:sz w:val="18"/>
                <w:szCs w:val="18"/>
              </w:rPr>
              <w:t>V</w:t>
            </w:r>
            <w:r w:rsidR="00094199">
              <w:rPr>
                <w:rFonts w:ascii="Calibri" w:eastAsia="Times New Roman" w:hAnsi="Calibri" w:cs="Times New Roman"/>
                <w:color w:val="000000"/>
                <w:sz w:val="18"/>
                <w:szCs w:val="18"/>
              </w:rPr>
              <w:t xml:space="preserve">     </w:t>
            </w:r>
            <w:r w:rsidRPr="00757113">
              <w:rPr>
                <w:rFonts w:ascii="Calibri" w:eastAsia="Times New Roman" w:hAnsi="Calibri" w:cs="Times New Roman"/>
                <w:color w:val="000000"/>
                <w:sz w:val="18"/>
                <w:szCs w:val="18"/>
              </w:rPr>
              <w:t>10-YR = TY</w:t>
            </w:r>
            <w:r w:rsidR="00F6240D">
              <w:rPr>
                <w:rFonts w:ascii="Calibri" w:eastAsia="Times New Roman" w:hAnsi="Calibri" w:cs="Times New Roman"/>
                <w:color w:val="000000"/>
                <w:sz w:val="18"/>
                <w:szCs w:val="18"/>
              </w:rPr>
              <w:t>D</w:t>
            </w:r>
            <w:r w:rsidR="001A3BD3">
              <w:rPr>
                <w:rFonts w:ascii="Calibri" w:eastAsia="Times New Roman" w:hAnsi="Calibri" w:cs="Times New Roman"/>
                <w:color w:val="000000"/>
                <w:sz w:val="18"/>
                <w:szCs w:val="18"/>
              </w:rPr>
              <w:t>X</w:t>
            </w:r>
            <w:r w:rsidR="00094199">
              <w:rPr>
                <w:rFonts w:ascii="Calibri" w:eastAsia="Times New Roman" w:hAnsi="Calibri" w:cs="Times New Roman"/>
                <w:color w:val="000000"/>
                <w:sz w:val="18"/>
                <w:szCs w:val="18"/>
              </w:rPr>
              <w:t xml:space="preserve">     </w:t>
            </w:r>
            <w:r w:rsidRPr="00757113">
              <w:rPr>
                <w:rFonts w:ascii="Calibri" w:eastAsia="Times New Roman" w:hAnsi="Calibri" w:cs="Times New Roman"/>
                <w:color w:val="000000"/>
                <w:sz w:val="18"/>
                <w:szCs w:val="18"/>
              </w:rPr>
              <w:t>30-YR = USD</w:t>
            </w:r>
            <w:r w:rsidR="002F6EE7">
              <w:rPr>
                <w:rFonts w:ascii="Calibri" w:eastAsia="Times New Roman" w:hAnsi="Calibri" w:cs="Times New Roman"/>
                <w:color w:val="000000"/>
                <w:sz w:val="18"/>
                <w:szCs w:val="18"/>
              </w:rPr>
              <w:t>V</w:t>
            </w:r>
            <w:r w:rsidR="00F6240D">
              <w:rPr>
                <w:rFonts w:ascii="Calibri" w:eastAsia="Times New Roman" w:hAnsi="Calibri" w:cs="Times New Roman"/>
                <w:color w:val="000000"/>
                <w:sz w:val="18"/>
                <w:szCs w:val="18"/>
              </w:rPr>
              <w:t xml:space="preserve">  |  (Base Trading Symbols)</w:t>
            </w:r>
          </w:p>
        </w:tc>
      </w:tr>
      <w:tr w:rsidR="00CB345C" w:rsidRPr="008E4618" w:rsidTr="00FF1A24">
        <w:trPr>
          <w:trHeight w:val="496"/>
        </w:trPr>
        <w:tc>
          <w:tcPr>
            <w:tcW w:w="2430" w:type="dxa"/>
            <w:tcBorders>
              <w:top w:val="nil"/>
              <w:left w:val="single" w:sz="4" w:space="0" w:color="FFFFFF"/>
              <w:bottom w:val="single" w:sz="4" w:space="0" w:color="6BBACF"/>
              <w:right w:val="single" w:sz="4" w:space="0" w:color="6BBACF"/>
            </w:tcBorders>
            <w:shd w:val="clear" w:color="000000" w:fill="CDE8EF"/>
            <w:noWrap/>
            <w:vAlign w:val="center"/>
            <w:hideMark/>
          </w:tcPr>
          <w:p w:rsidR="00CB345C" w:rsidRPr="008E4618" w:rsidRDefault="00CB345C" w:rsidP="005E4986">
            <w:pPr>
              <w:spacing w:after="0" w:line="240" w:lineRule="auto"/>
              <w:jc w:val="center"/>
              <w:rPr>
                <w:rFonts w:ascii="Calibri" w:eastAsia="Times New Roman" w:hAnsi="Calibri" w:cs="Times New Roman"/>
                <w:color w:val="000000"/>
                <w:sz w:val="18"/>
                <w:szCs w:val="18"/>
              </w:rPr>
            </w:pPr>
            <w:r w:rsidRPr="008E4618">
              <w:rPr>
                <w:rFonts w:ascii="Calibri" w:eastAsia="Times New Roman" w:hAnsi="Calibri" w:cs="Times New Roman"/>
                <w:color w:val="000000"/>
                <w:sz w:val="18"/>
                <w:szCs w:val="18"/>
              </w:rPr>
              <w:t xml:space="preserve">CONTRACT </w:t>
            </w:r>
            <w:r w:rsidR="005E4986">
              <w:rPr>
                <w:rFonts w:ascii="Calibri" w:eastAsia="Times New Roman" w:hAnsi="Calibri" w:cs="Times New Roman"/>
                <w:color w:val="000000"/>
                <w:sz w:val="18"/>
                <w:szCs w:val="18"/>
              </w:rPr>
              <w:t>MONTH</w:t>
            </w:r>
            <w:r w:rsidRPr="008E4618">
              <w:rPr>
                <w:rFonts w:ascii="Calibri" w:eastAsia="Times New Roman" w:hAnsi="Calibri" w:cs="Times New Roman"/>
                <w:color w:val="000000"/>
                <w:sz w:val="18"/>
                <w:szCs w:val="18"/>
              </w:rPr>
              <w:t>S</w:t>
            </w:r>
          </w:p>
        </w:tc>
        <w:tc>
          <w:tcPr>
            <w:tcW w:w="8460" w:type="dxa"/>
            <w:tcBorders>
              <w:top w:val="nil"/>
              <w:left w:val="nil"/>
              <w:bottom w:val="single" w:sz="4" w:space="0" w:color="6BBACF"/>
              <w:right w:val="single" w:sz="4" w:space="0" w:color="FFFFFF"/>
            </w:tcBorders>
            <w:shd w:val="clear" w:color="auto" w:fill="auto"/>
            <w:noWrap/>
            <w:vAlign w:val="center"/>
          </w:tcPr>
          <w:p w:rsidR="00CB345C" w:rsidRPr="008E4618" w:rsidRDefault="00AE1C69" w:rsidP="00AE1C6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U</w:t>
            </w:r>
            <w:r w:rsidRPr="00AE1C69">
              <w:rPr>
                <w:rFonts w:ascii="Calibri" w:eastAsia="Times New Roman" w:hAnsi="Calibri" w:cs="Times New Roman"/>
                <w:color w:val="000000"/>
                <w:sz w:val="18"/>
                <w:szCs w:val="18"/>
              </w:rPr>
              <w:t>p to 12 consecutive or non-consecutive monthly contracts, beginn</w:t>
            </w:r>
            <w:r>
              <w:rPr>
                <w:rFonts w:ascii="Calibri" w:eastAsia="Times New Roman" w:hAnsi="Calibri" w:cs="Times New Roman"/>
                <w:color w:val="000000"/>
                <w:sz w:val="18"/>
                <w:szCs w:val="18"/>
              </w:rPr>
              <w:t xml:space="preserve">ing with the nearest available </w:t>
            </w:r>
            <w:r w:rsidRPr="00AE1C69">
              <w:rPr>
                <w:rFonts w:ascii="Calibri" w:eastAsia="Times New Roman" w:hAnsi="Calibri" w:cs="Times New Roman"/>
                <w:color w:val="000000"/>
                <w:sz w:val="18"/>
                <w:szCs w:val="18"/>
              </w:rPr>
              <w:t>month</w:t>
            </w:r>
            <w:r w:rsidR="009127A2">
              <w:rPr>
                <w:rFonts w:ascii="Calibri" w:eastAsia="Times New Roman" w:hAnsi="Calibri" w:cs="Times New Roman"/>
                <w:color w:val="000000"/>
                <w:sz w:val="18"/>
                <w:szCs w:val="18"/>
              </w:rPr>
              <w:t>.</w:t>
            </w:r>
          </w:p>
        </w:tc>
      </w:tr>
      <w:tr w:rsidR="00CB345C" w:rsidRPr="008E4618" w:rsidTr="00FF1A24">
        <w:trPr>
          <w:trHeight w:val="496"/>
        </w:trPr>
        <w:tc>
          <w:tcPr>
            <w:tcW w:w="2430" w:type="dxa"/>
            <w:tcBorders>
              <w:top w:val="nil"/>
              <w:left w:val="single" w:sz="4" w:space="0" w:color="FFFFFF"/>
              <w:bottom w:val="single" w:sz="4" w:space="0" w:color="6BBACF"/>
              <w:right w:val="single" w:sz="4" w:space="0" w:color="6BBACF"/>
            </w:tcBorders>
            <w:shd w:val="clear" w:color="000000" w:fill="A7D6E3"/>
            <w:noWrap/>
            <w:vAlign w:val="center"/>
            <w:hideMark/>
          </w:tcPr>
          <w:p w:rsidR="00CB345C" w:rsidRPr="008E4618" w:rsidRDefault="00CB345C" w:rsidP="000B0E55">
            <w:pPr>
              <w:spacing w:after="0" w:line="240" w:lineRule="auto"/>
              <w:jc w:val="center"/>
              <w:rPr>
                <w:rFonts w:ascii="Calibri" w:eastAsia="Times New Roman" w:hAnsi="Calibri" w:cs="Times New Roman"/>
                <w:color w:val="000000"/>
                <w:sz w:val="18"/>
                <w:szCs w:val="18"/>
              </w:rPr>
            </w:pPr>
            <w:r w:rsidRPr="008E4618">
              <w:rPr>
                <w:rFonts w:ascii="Calibri" w:eastAsia="Times New Roman" w:hAnsi="Calibri" w:cs="Times New Roman"/>
                <w:color w:val="000000"/>
                <w:sz w:val="18"/>
                <w:szCs w:val="18"/>
              </w:rPr>
              <w:t>TRADING HOURS</w:t>
            </w:r>
          </w:p>
        </w:tc>
        <w:tc>
          <w:tcPr>
            <w:tcW w:w="8460" w:type="dxa"/>
            <w:tcBorders>
              <w:top w:val="nil"/>
              <w:left w:val="nil"/>
              <w:bottom w:val="single" w:sz="4" w:space="0" w:color="6BBACF"/>
              <w:right w:val="single" w:sz="4" w:space="0" w:color="FFFFFF"/>
            </w:tcBorders>
            <w:shd w:val="clear" w:color="000000" w:fill="E6E6E6"/>
            <w:vAlign w:val="center"/>
          </w:tcPr>
          <w:p w:rsidR="00CB345C" w:rsidRPr="001D636D" w:rsidRDefault="00C96B41" w:rsidP="00741FA6">
            <w:pPr>
              <w:spacing w:after="0" w:line="240" w:lineRule="auto"/>
              <w:rPr>
                <w:rFonts w:ascii="Calibri" w:eastAsia="Times New Roman" w:hAnsi="Calibri" w:cs="Times New Roman"/>
                <w:color w:val="000000"/>
                <w:sz w:val="18"/>
                <w:szCs w:val="18"/>
              </w:rPr>
            </w:pPr>
            <w:r w:rsidRPr="001D636D">
              <w:rPr>
                <w:rFonts w:ascii="Calibri" w:eastAsia="Times New Roman" w:hAnsi="Calibri" w:cs="Times New Roman"/>
                <w:color w:val="000000"/>
                <w:sz w:val="18"/>
                <w:szCs w:val="18"/>
              </w:rPr>
              <w:t>7:00</w:t>
            </w:r>
            <w:r w:rsidR="00AC4F43" w:rsidRPr="001D636D">
              <w:rPr>
                <w:rFonts w:ascii="Calibri" w:eastAsia="Times New Roman" w:hAnsi="Calibri" w:cs="Times New Roman"/>
                <w:color w:val="000000"/>
                <w:sz w:val="18"/>
                <w:szCs w:val="18"/>
              </w:rPr>
              <w:t xml:space="preserve"> </w:t>
            </w:r>
            <w:r w:rsidRPr="001D636D">
              <w:rPr>
                <w:rFonts w:ascii="Calibri" w:eastAsia="Times New Roman" w:hAnsi="Calibri" w:cs="Times New Roman"/>
                <w:color w:val="000000"/>
                <w:sz w:val="18"/>
                <w:szCs w:val="18"/>
              </w:rPr>
              <w:t>P</w:t>
            </w:r>
            <w:r w:rsidR="000047B6" w:rsidRPr="001D636D">
              <w:rPr>
                <w:rFonts w:ascii="Calibri" w:eastAsia="Times New Roman" w:hAnsi="Calibri" w:cs="Times New Roman"/>
                <w:color w:val="000000"/>
                <w:sz w:val="18"/>
                <w:szCs w:val="18"/>
              </w:rPr>
              <w:t xml:space="preserve">M to </w:t>
            </w:r>
            <w:r w:rsidR="00741FA6">
              <w:rPr>
                <w:rFonts w:ascii="Calibri" w:eastAsia="Times New Roman" w:hAnsi="Calibri" w:cs="Times New Roman"/>
                <w:color w:val="000000"/>
                <w:sz w:val="18"/>
                <w:szCs w:val="18"/>
              </w:rPr>
              <w:t>6</w:t>
            </w:r>
            <w:r w:rsidR="000047B6" w:rsidRPr="001D636D">
              <w:rPr>
                <w:rFonts w:ascii="Calibri" w:eastAsia="Times New Roman" w:hAnsi="Calibri" w:cs="Times New Roman"/>
                <w:color w:val="000000"/>
                <w:sz w:val="18"/>
                <w:szCs w:val="18"/>
              </w:rPr>
              <w:t>:00 PM Eastern Prevailing Time</w:t>
            </w:r>
            <w:r w:rsidRPr="001D636D">
              <w:rPr>
                <w:rFonts w:ascii="Calibri" w:eastAsia="Times New Roman" w:hAnsi="Calibri" w:cs="Times New Roman"/>
                <w:color w:val="000000"/>
                <w:sz w:val="18"/>
                <w:szCs w:val="18"/>
              </w:rPr>
              <w:t xml:space="preserve"> (</w:t>
            </w:r>
            <w:r w:rsidR="00741FA6">
              <w:rPr>
                <w:rFonts w:ascii="Calibri" w:eastAsia="Times New Roman" w:hAnsi="Calibri" w:cs="Times New Roman"/>
                <w:color w:val="000000"/>
                <w:sz w:val="18"/>
                <w:szCs w:val="18"/>
              </w:rPr>
              <w:t>EPT</w:t>
            </w:r>
            <w:r w:rsidRPr="001D636D">
              <w:rPr>
                <w:rFonts w:ascii="Calibri" w:eastAsia="Times New Roman" w:hAnsi="Calibri" w:cs="Times New Roman"/>
                <w:color w:val="000000"/>
                <w:sz w:val="18"/>
                <w:szCs w:val="18"/>
              </w:rPr>
              <w:t>)</w:t>
            </w:r>
            <w:r w:rsidR="00DA2AE7" w:rsidRPr="001D636D">
              <w:rPr>
                <w:rFonts w:ascii="Calibri" w:eastAsia="Times New Roman" w:hAnsi="Calibri" w:cs="Times New Roman"/>
                <w:color w:val="000000"/>
                <w:sz w:val="18"/>
                <w:szCs w:val="18"/>
              </w:rPr>
              <w:t xml:space="preserve"> Sunday through Friday</w:t>
            </w:r>
            <w:r w:rsidR="00741FA6">
              <w:rPr>
                <w:rFonts w:ascii="Calibri" w:eastAsia="Times New Roman" w:hAnsi="Calibri" w:cs="Times New Roman"/>
                <w:color w:val="000000"/>
                <w:sz w:val="18"/>
                <w:szCs w:val="18"/>
              </w:rPr>
              <w:t>.</w:t>
            </w:r>
          </w:p>
        </w:tc>
      </w:tr>
      <w:tr w:rsidR="00CB345C" w:rsidRPr="008E4618" w:rsidTr="00FF1A24">
        <w:trPr>
          <w:trHeight w:val="496"/>
        </w:trPr>
        <w:tc>
          <w:tcPr>
            <w:tcW w:w="2430" w:type="dxa"/>
            <w:tcBorders>
              <w:top w:val="nil"/>
              <w:left w:val="single" w:sz="4" w:space="0" w:color="FFFFFF"/>
              <w:bottom w:val="single" w:sz="4" w:space="0" w:color="6BBACF"/>
              <w:right w:val="single" w:sz="4" w:space="0" w:color="6BBACF"/>
            </w:tcBorders>
            <w:shd w:val="clear" w:color="000000" w:fill="CDE8EF"/>
            <w:noWrap/>
            <w:vAlign w:val="center"/>
            <w:hideMark/>
          </w:tcPr>
          <w:p w:rsidR="00CB345C" w:rsidRPr="008E4618" w:rsidRDefault="00CB345C" w:rsidP="000B0E55">
            <w:pPr>
              <w:spacing w:after="0" w:line="240" w:lineRule="auto"/>
              <w:jc w:val="center"/>
              <w:rPr>
                <w:rFonts w:ascii="Calibri" w:eastAsia="Times New Roman" w:hAnsi="Calibri" w:cs="Times New Roman"/>
                <w:color w:val="000000"/>
                <w:sz w:val="18"/>
                <w:szCs w:val="18"/>
              </w:rPr>
            </w:pPr>
            <w:r w:rsidRPr="008E4618">
              <w:rPr>
                <w:rFonts w:ascii="Calibri" w:eastAsia="Times New Roman" w:hAnsi="Calibri" w:cs="Times New Roman"/>
                <w:color w:val="000000"/>
                <w:sz w:val="18"/>
                <w:szCs w:val="18"/>
              </w:rPr>
              <w:t>TRADING PLATFORM</w:t>
            </w:r>
          </w:p>
        </w:tc>
        <w:tc>
          <w:tcPr>
            <w:tcW w:w="8460" w:type="dxa"/>
            <w:tcBorders>
              <w:top w:val="nil"/>
              <w:left w:val="nil"/>
              <w:bottom w:val="single" w:sz="4" w:space="0" w:color="6BBACF"/>
              <w:right w:val="single" w:sz="4" w:space="0" w:color="FFFFFF"/>
            </w:tcBorders>
            <w:shd w:val="clear" w:color="auto" w:fill="auto"/>
            <w:vAlign w:val="center"/>
          </w:tcPr>
          <w:p w:rsidR="00CB345C" w:rsidRPr="001D636D" w:rsidRDefault="00C84B7C" w:rsidP="000B0E55">
            <w:pPr>
              <w:spacing w:after="0" w:line="240" w:lineRule="auto"/>
              <w:rPr>
                <w:rFonts w:ascii="Calibri" w:eastAsia="Times New Roman" w:hAnsi="Calibri" w:cs="Times New Roman"/>
                <w:color w:val="000000"/>
                <w:sz w:val="18"/>
                <w:szCs w:val="18"/>
              </w:rPr>
            </w:pPr>
            <w:r w:rsidRPr="001D636D">
              <w:rPr>
                <w:rFonts w:ascii="Calibri" w:eastAsia="Times New Roman" w:hAnsi="Calibri" w:cs="Times New Roman"/>
                <w:color w:val="000000"/>
                <w:sz w:val="18"/>
                <w:szCs w:val="18"/>
              </w:rPr>
              <w:t>Nasdaq Futures Inc. (NFX)</w:t>
            </w:r>
          </w:p>
        </w:tc>
      </w:tr>
      <w:tr w:rsidR="00CB345C" w:rsidRPr="008E4618" w:rsidTr="00E40BD5">
        <w:trPr>
          <w:trHeight w:val="2321"/>
        </w:trPr>
        <w:tc>
          <w:tcPr>
            <w:tcW w:w="2430" w:type="dxa"/>
            <w:tcBorders>
              <w:top w:val="nil"/>
              <w:left w:val="single" w:sz="4" w:space="0" w:color="FFFFFF"/>
              <w:bottom w:val="single" w:sz="4" w:space="0" w:color="6BBACF"/>
              <w:right w:val="single" w:sz="4" w:space="0" w:color="6BBACF"/>
            </w:tcBorders>
            <w:shd w:val="clear" w:color="000000" w:fill="A7D6E3"/>
            <w:vAlign w:val="center"/>
            <w:hideMark/>
          </w:tcPr>
          <w:p w:rsidR="00CB345C" w:rsidRPr="008E4618" w:rsidRDefault="00CB345C" w:rsidP="005E4986">
            <w:pPr>
              <w:spacing w:after="0" w:line="240" w:lineRule="auto"/>
              <w:jc w:val="center"/>
              <w:rPr>
                <w:rFonts w:ascii="Calibri" w:eastAsia="Times New Roman" w:hAnsi="Calibri" w:cs="Times New Roman"/>
                <w:color w:val="000000"/>
                <w:sz w:val="18"/>
                <w:szCs w:val="18"/>
              </w:rPr>
            </w:pPr>
            <w:r w:rsidRPr="008E4618">
              <w:rPr>
                <w:rFonts w:ascii="Calibri" w:eastAsia="Times New Roman" w:hAnsi="Calibri" w:cs="Times New Roman"/>
                <w:color w:val="000000"/>
                <w:sz w:val="18"/>
                <w:szCs w:val="18"/>
              </w:rPr>
              <w:t>MINIMUM PRICE INTERVAL</w:t>
            </w:r>
            <w:r w:rsidR="005E4986">
              <w:rPr>
                <w:rFonts w:ascii="Calibri" w:eastAsia="Times New Roman" w:hAnsi="Calibri" w:cs="Times New Roman"/>
                <w:color w:val="000000"/>
                <w:sz w:val="18"/>
                <w:szCs w:val="18"/>
              </w:rPr>
              <w:t xml:space="preserve"> </w:t>
            </w:r>
            <w:r w:rsidRPr="008E4618">
              <w:rPr>
                <w:rFonts w:ascii="Calibri" w:eastAsia="Times New Roman" w:hAnsi="Calibri" w:cs="Times New Roman"/>
                <w:color w:val="000000"/>
                <w:sz w:val="18"/>
                <w:szCs w:val="18"/>
              </w:rPr>
              <w:t>DOLLAR VALUE PER TICK</w:t>
            </w:r>
          </w:p>
        </w:tc>
        <w:tc>
          <w:tcPr>
            <w:tcW w:w="8460" w:type="dxa"/>
            <w:tcBorders>
              <w:top w:val="nil"/>
              <w:left w:val="nil"/>
              <w:bottom w:val="single" w:sz="4" w:space="0" w:color="6BBACF"/>
              <w:right w:val="single" w:sz="4" w:space="0" w:color="FFFFFF"/>
            </w:tcBorders>
            <w:shd w:val="clear" w:color="000000" w:fill="E6E6E6"/>
            <w:vAlign w:val="center"/>
          </w:tcPr>
          <w:p w:rsidR="00FF1A24" w:rsidRPr="001D636D" w:rsidRDefault="00FF1A24" w:rsidP="00C84B7C">
            <w:pPr>
              <w:spacing w:after="0" w:line="240" w:lineRule="auto"/>
              <w:rPr>
                <w:rFonts w:ascii="Calibri" w:eastAsia="Times New Roman" w:hAnsi="Calibri" w:cs="Times New Roman"/>
                <w:color w:val="000000"/>
                <w:sz w:val="18"/>
                <w:szCs w:val="18"/>
              </w:rPr>
            </w:pPr>
            <w:r w:rsidRPr="001D636D">
              <w:rPr>
                <w:rFonts w:ascii="Calibri" w:eastAsia="Times New Roman" w:hAnsi="Calibri" w:cs="Times New Roman"/>
                <w:color w:val="000000"/>
                <w:sz w:val="18"/>
                <w:szCs w:val="18"/>
              </w:rPr>
              <w:t xml:space="preserve">Outright and Spreads: </w:t>
            </w:r>
            <w:r w:rsidR="00322699">
              <w:rPr>
                <w:rFonts w:ascii="Calibri" w:eastAsia="Times New Roman" w:hAnsi="Calibri" w:cs="Times New Roman"/>
                <w:color w:val="000000"/>
                <w:sz w:val="18"/>
                <w:szCs w:val="18"/>
              </w:rPr>
              <w:t>Fractional</w:t>
            </w:r>
            <w:r w:rsidRPr="001D636D">
              <w:rPr>
                <w:rFonts w:ascii="Calibri" w:eastAsia="Times New Roman" w:hAnsi="Calibri" w:cs="Times New Roman"/>
                <w:color w:val="000000"/>
                <w:sz w:val="18"/>
                <w:szCs w:val="18"/>
              </w:rPr>
              <w:t xml:space="preserve"> </w:t>
            </w:r>
            <w:r w:rsidR="009127A2">
              <w:rPr>
                <w:rFonts w:ascii="Calibri" w:eastAsia="Times New Roman" w:hAnsi="Calibri" w:cs="Times New Roman"/>
                <w:color w:val="000000"/>
                <w:sz w:val="18"/>
                <w:szCs w:val="18"/>
              </w:rPr>
              <w:t>B</w:t>
            </w:r>
            <w:r w:rsidRPr="001D636D">
              <w:rPr>
                <w:rFonts w:ascii="Calibri" w:eastAsia="Times New Roman" w:hAnsi="Calibri" w:cs="Times New Roman"/>
                <w:color w:val="000000"/>
                <w:sz w:val="18"/>
                <w:szCs w:val="18"/>
              </w:rPr>
              <w:t xml:space="preserve">asis </w:t>
            </w:r>
            <w:r w:rsidR="009127A2">
              <w:rPr>
                <w:rFonts w:ascii="Calibri" w:eastAsia="Times New Roman" w:hAnsi="Calibri" w:cs="Times New Roman"/>
                <w:color w:val="000000"/>
                <w:sz w:val="18"/>
                <w:szCs w:val="18"/>
              </w:rPr>
              <w:t>P</w:t>
            </w:r>
            <w:r w:rsidRPr="001D636D">
              <w:rPr>
                <w:rFonts w:ascii="Calibri" w:eastAsia="Times New Roman" w:hAnsi="Calibri" w:cs="Times New Roman"/>
                <w:color w:val="000000"/>
                <w:sz w:val="18"/>
                <w:szCs w:val="18"/>
              </w:rPr>
              <w:t xml:space="preserve">oint            </w:t>
            </w:r>
            <w:r w:rsidRPr="001D636D">
              <w:rPr>
                <w:rFonts w:ascii="Calibri" w:eastAsia="Times New Roman" w:hAnsi="Calibri" w:cs="Times New Roman"/>
                <w:color w:val="000000"/>
                <w:sz w:val="18"/>
                <w:szCs w:val="18"/>
                <w:lang w:eastAsia="ja-JP"/>
              </w:rPr>
              <w:t xml:space="preserve">The increment between ticks </w:t>
            </w:r>
            <w:r w:rsidR="00D3772B">
              <w:rPr>
                <w:rFonts w:ascii="Calibri" w:eastAsia="Times New Roman" w:hAnsi="Calibri" w:cs="Times New Roman"/>
                <w:color w:val="000000"/>
                <w:sz w:val="18"/>
                <w:szCs w:val="18"/>
                <w:lang w:eastAsia="ja-JP"/>
              </w:rPr>
              <w:t xml:space="preserve">equals </w:t>
            </w:r>
            <w:r w:rsidRPr="001D636D">
              <w:rPr>
                <w:rFonts w:ascii="Calibri" w:eastAsia="Times New Roman" w:hAnsi="Calibri" w:cs="Times New Roman"/>
                <w:color w:val="000000"/>
                <w:sz w:val="18"/>
                <w:szCs w:val="18"/>
                <w:lang w:eastAsia="ja-JP"/>
              </w:rPr>
              <w:t>the dollar</w:t>
            </w:r>
            <w:r w:rsidR="00D3772B">
              <w:rPr>
                <w:rFonts w:ascii="Calibri" w:eastAsia="Times New Roman" w:hAnsi="Calibri" w:cs="Times New Roman"/>
                <w:color w:val="000000"/>
                <w:sz w:val="18"/>
                <w:szCs w:val="18"/>
                <w:lang w:eastAsia="ja-JP"/>
              </w:rPr>
              <w:t xml:space="preserve"> value of </w:t>
            </w:r>
            <w:r w:rsidR="00322699">
              <w:rPr>
                <w:rFonts w:ascii="Calibri" w:eastAsia="Times New Roman" w:hAnsi="Calibri" w:cs="Times New Roman"/>
                <w:color w:val="000000"/>
                <w:sz w:val="18"/>
                <w:szCs w:val="18"/>
                <w:lang w:eastAsia="ja-JP"/>
              </w:rPr>
              <w:t xml:space="preserve"> </w:t>
            </w:r>
          </w:p>
          <w:p w:rsidR="00322699" w:rsidRDefault="00FF1A24" w:rsidP="00C84B7C">
            <w:pPr>
              <w:spacing w:after="0" w:line="240" w:lineRule="auto"/>
              <w:rPr>
                <w:rFonts w:ascii="Calibri" w:eastAsia="Times New Roman" w:hAnsi="Calibri" w:cs="Times New Roman"/>
                <w:color w:val="000000"/>
                <w:sz w:val="18"/>
                <w:szCs w:val="18"/>
              </w:rPr>
            </w:pPr>
            <w:r w:rsidRPr="001D636D">
              <w:rPr>
                <w:rFonts w:ascii="Calibri" w:eastAsia="Times New Roman" w:hAnsi="Calibri" w:cs="Times New Roman"/>
                <w:color w:val="000000"/>
                <w:sz w:val="18"/>
                <w:szCs w:val="18"/>
              </w:rPr>
              <w:t>increments:  0.00</w:t>
            </w:r>
            <w:r w:rsidR="00D3772B">
              <w:rPr>
                <w:rFonts w:ascii="Calibri" w:eastAsia="Times New Roman" w:hAnsi="Calibri" w:cs="Times New Roman"/>
                <w:color w:val="000000"/>
                <w:sz w:val="18"/>
                <w:szCs w:val="18"/>
              </w:rPr>
              <w:t>1</w:t>
            </w:r>
            <w:r w:rsidRPr="001D636D">
              <w:rPr>
                <w:rFonts w:ascii="Calibri" w:eastAsia="Times New Roman" w:hAnsi="Calibri" w:cs="Times New Roman"/>
                <w:color w:val="000000"/>
                <w:sz w:val="18"/>
                <w:szCs w:val="18"/>
              </w:rPr>
              <w:t xml:space="preserve"> </w:t>
            </w:r>
            <w:r w:rsidRPr="001D636D">
              <w:rPr>
                <w:rFonts w:ascii="Calibri" w:eastAsia="Times New Roman" w:hAnsi="Calibri" w:cs="Times New Roman"/>
                <w:color w:val="000000"/>
                <w:sz w:val="18"/>
                <w:szCs w:val="18"/>
              </w:rPr>
              <w:sym w:font="Wingdings" w:char="F0E0"/>
            </w:r>
            <w:r w:rsidRPr="001D636D">
              <w:rPr>
                <w:rFonts w:ascii="Calibri" w:eastAsia="Times New Roman" w:hAnsi="Calibri" w:cs="Times New Roman"/>
                <w:color w:val="000000"/>
                <w:sz w:val="18"/>
                <w:szCs w:val="18"/>
              </w:rPr>
              <w:t xml:space="preserve"> 0.</w:t>
            </w:r>
            <w:r w:rsidR="00D3772B">
              <w:rPr>
                <w:rFonts w:ascii="Calibri" w:eastAsia="Times New Roman" w:hAnsi="Calibri" w:cs="Times New Roman"/>
                <w:color w:val="000000"/>
                <w:sz w:val="18"/>
                <w:szCs w:val="18"/>
              </w:rPr>
              <w:t>00</w:t>
            </w:r>
            <w:r w:rsidRPr="001D636D">
              <w:rPr>
                <w:rFonts w:ascii="Calibri" w:eastAsia="Times New Roman" w:hAnsi="Calibri" w:cs="Times New Roman"/>
                <w:color w:val="000000"/>
                <w:sz w:val="18"/>
                <w:szCs w:val="18"/>
              </w:rPr>
              <w:t xml:space="preserve">2  </w:t>
            </w:r>
            <w:r w:rsidRPr="001D636D">
              <w:rPr>
                <w:rFonts w:ascii="Calibri" w:eastAsia="Times New Roman" w:hAnsi="Calibri" w:cs="Times New Roman"/>
                <w:color w:val="000000"/>
                <w:sz w:val="18"/>
                <w:szCs w:val="18"/>
              </w:rPr>
              <w:sym w:font="Wingdings" w:char="F0E0"/>
            </w:r>
            <w:r w:rsidRPr="001D636D">
              <w:rPr>
                <w:rFonts w:ascii="Calibri" w:eastAsia="Times New Roman" w:hAnsi="Calibri" w:cs="Times New Roman"/>
                <w:color w:val="000000"/>
                <w:sz w:val="18"/>
                <w:szCs w:val="18"/>
              </w:rPr>
              <w:t xml:space="preserve"> 0.</w:t>
            </w:r>
            <w:r w:rsidR="00D3772B">
              <w:rPr>
                <w:rFonts w:ascii="Calibri" w:eastAsia="Times New Roman" w:hAnsi="Calibri" w:cs="Times New Roman"/>
                <w:color w:val="000000"/>
                <w:sz w:val="18"/>
                <w:szCs w:val="18"/>
              </w:rPr>
              <w:t>0</w:t>
            </w:r>
            <w:r w:rsidRPr="001D636D">
              <w:rPr>
                <w:rFonts w:ascii="Calibri" w:eastAsia="Times New Roman" w:hAnsi="Calibri" w:cs="Times New Roman"/>
                <w:color w:val="000000"/>
                <w:sz w:val="18"/>
                <w:szCs w:val="18"/>
              </w:rPr>
              <w:t>0</w:t>
            </w:r>
            <w:r w:rsidR="00D3772B">
              <w:rPr>
                <w:rFonts w:ascii="Calibri" w:eastAsia="Times New Roman" w:hAnsi="Calibri" w:cs="Times New Roman"/>
                <w:color w:val="000000"/>
                <w:sz w:val="18"/>
                <w:szCs w:val="18"/>
              </w:rPr>
              <w:t>3</w:t>
            </w:r>
            <w:r w:rsidRPr="001D636D">
              <w:rPr>
                <w:rFonts w:ascii="Calibri" w:eastAsia="Times New Roman" w:hAnsi="Calibri" w:cs="Times New Roman"/>
                <w:color w:val="000000"/>
                <w:sz w:val="18"/>
                <w:szCs w:val="18"/>
              </w:rPr>
              <w:t xml:space="preserve">                 </w:t>
            </w:r>
            <w:r w:rsidR="00D3772B">
              <w:rPr>
                <w:rFonts w:ascii="Calibri" w:eastAsia="Times New Roman" w:hAnsi="Calibri" w:cs="Times New Roman"/>
                <w:color w:val="000000"/>
                <w:sz w:val="18"/>
                <w:szCs w:val="18"/>
              </w:rPr>
              <w:t xml:space="preserve">       </w:t>
            </w:r>
            <w:r w:rsidR="00322699" w:rsidRPr="00322699">
              <w:rPr>
                <w:rFonts w:ascii="Calibri" w:eastAsia="Times New Roman" w:hAnsi="Calibri" w:cs="Times New Roman"/>
                <w:color w:val="000000"/>
                <w:sz w:val="18"/>
                <w:szCs w:val="18"/>
              </w:rPr>
              <w:t>fraction</w:t>
            </w:r>
            <w:r w:rsidR="002D5781">
              <w:rPr>
                <w:rFonts w:ascii="Calibri" w:eastAsia="Times New Roman" w:hAnsi="Calibri" w:cs="Times New Roman"/>
                <w:color w:val="000000"/>
                <w:sz w:val="18"/>
                <w:szCs w:val="18"/>
              </w:rPr>
              <w:t>al</w:t>
            </w:r>
            <w:r w:rsidR="00322699" w:rsidRPr="00322699">
              <w:rPr>
                <w:rFonts w:ascii="Calibri" w:eastAsia="Times New Roman" w:hAnsi="Calibri" w:cs="Times New Roman"/>
                <w:color w:val="000000"/>
                <w:sz w:val="18"/>
                <w:szCs w:val="18"/>
              </w:rPr>
              <w:t xml:space="preserve"> basis points of the current OTR Treasury, </w:t>
            </w:r>
          </w:p>
          <w:p w:rsidR="00FF1A24" w:rsidRPr="001D636D" w:rsidRDefault="00307D9E" w:rsidP="00C84B7C">
            <w:pPr>
              <w:spacing w:after="0" w:line="240" w:lineRule="auto"/>
              <w:rPr>
                <w:rFonts w:ascii="Calibri" w:eastAsia="Times New Roman" w:hAnsi="Calibri" w:cs="Times New Roman"/>
                <w:color w:val="000000"/>
                <w:sz w:val="18"/>
                <w:szCs w:val="18"/>
              </w:rPr>
            </w:pPr>
            <w:r w:rsidRPr="001D636D">
              <w:rPr>
                <w:rFonts w:ascii="Calibri" w:eastAsia="Times New Roman" w:hAnsi="Calibri" w:cs="Times New Roman"/>
                <w:color w:val="000000"/>
                <w:sz w:val="18"/>
                <w:szCs w:val="18"/>
              </w:rPr>
              <w:t>1.98</w:t>
            </w:r>
            <w:r w:rsidR="00CA4FB8">
              <w:rPr>
                <w:rFonts w:ascii="Calibri" w:eastAsia="Times New Roman" w:hAnsi="Calibri" w:cs="Times New Roman"/>
                <w:color w:val="000000"/>
                <w:sz w:val="18"/>
                <w:szCs w:val="18"/>
              </w:rPr>
              <w:t>0</w:t>
            </w:r>
            <w:r w:rsidRPr="001D636D">
              <w:rPr>
                <w:rFonts w:ascii="Calibri" w:eastAsia="Times New Roman" w:hAnsi="Calibri" w:cs="Times New Roman"/>
                <w:color w:val="000000"/>
                <w:sz w:val="18"/>
                <w:szCs w:val="18"/>
              </w:rPr>
              <w:t>% (100-1.98</w:t>
            </w:r>
            <w:r w:rsidR="00CA4FB8">
              <w:rPr>
                <w:rFonts w:ascii="Calibri" w:eastAsia="Times New Roman" w:hAnsi="Calibri" w:cs="Times New Roman"/>
                <w:color w:val="000000"/>
                <w:sz w:val="18"/>
                <w:szCs w:val="18"/>
              </w:rPr>
              <w:t>0</w:t>
            </w:r>
            <w:r w:rsidRPr="001D636D">
              <w:rPr>
                <w:rFonts w:ascii="Calibri" w:eastAsia="Times New Roman" w:hAnsi="Calibri" w:cs="Times New Roman"/>
                <w:color w:val="000000"/>
                <w:sz w:val="18"/>
                <w:szCs w:val="18"/>
              </w:rPr>
              <w:t>) equals 98.02</w:t>
            </w:r>
            <w:r w:rsidR="00CA4FB8">
              <w:rPr>
                <w:rFonts w:ascii="Calibri" w:eastAsia="Times New Roman" w:hAnsi="Calibri" w:cs="Times New Roman"/>
                <w:color w:val="000000"/>
                <w:sz w:val="18"/>
                <w:szCs w:val="18"/>
              </w:rPr>
              <w:t>0</w:t>
            </w:r>
            <w:r w:rsidR="00FF1A24" w:rsidRPr="001D636D">
              <w:rPr>
                <w:rFonts w:ascii="Calibri" w:eastAsia="Times New Roman" w:hAnsi="Calibri" w:cs="Times New Roman"/>
                <w:color w:val="000000"/>
                <w:sz w:val="18"/>
                <w:szCs w:val="18"/>
              </w:rPr>
              <w:t xml:space="preserve">                              </w:t>
            </w:r>
            <w:r w:rsidR="00322699">
              <w:rPr>
                <w:rFonts w:ascii="Calibri" w:eastAsia="Times New Roman" w:hAnsi="Calibri" w:cs="Times New Roman"/>
                <w:color w:val="000000"/>
                <w:sz w:val="18"/>
                <w:szCs w:val="18"/>
              </w:rPr>
              <w:t xml:space="preserve">as </w:t>
            </w:r>
            <w:r w:rsidR="00FF1A24" w:rsidRPr="001D636D">
              <w:rPr>
                <w:rFonts w:ascii="Calibri" w:eastAsia="Times New Roman" w:hAnsi="Calibri" w:cs="Times New Roman"/>
                <w:color w:val="000000"/>
                <w:sz w:val="18"/>
                <w:szCs w:val="18"/>
              </w:rPr>
              <w:t>de</w:t>
            </w:r>
            <w:r w:rsidRPr="001D636D">
              <w:rPr>
                <w:rFonts w:ascii="Calibri" w:eastAsia="Times New Roman" w:hAnsi="Calibri" w:cs="Times New Roman"/>
                <w:color w:val="000000"/>
                <w:sz w:val="18"/>
                <w:szCs w:val="18"/>
              </w:rPr>
              <w:t xml:space="preserve">fined in </w:t>
            </w:r>
            <w:r w:rsidR="002D5781">
              <w:rPr>
                <w:rFonts w:ascii="Calibri" w:eastAsia="Times New Roman" w:hAnsi="Calibri" w:cs="Times New Roman"/>
                <w:color w:val="000000"/>
                <w:sz w:val="18"/>
                <w:szCs w:val="18"/>
              </w:rPr>
              <w:t>c</w:t>
            </w:r>
            <w:r w:rsidRPr="001D636D">
              <w:rPr>
                <w:rFonts w:ascii="Calibri" w:eastAsia="Times New Roman" w:hAnsi="Calibri" w:cs="Times New Roman"/>
                <w:color w:val="000000"/>
                <w:sz w:val="18"/>
                <w:szCs w:val="18"/>
              </w:rPr>
              <w:t>ontract rules</w:t>
            </w:r>
            <w:r w:rsidR="002F42B6">
              <w:rPr>
                <w:rFonts w:ascii="Calibri" w:eastAsia="Times New Roman" w:hAnsi="Calibri" w:cs="Times New Roman"/>
                <w:color w:val="000000"/>
                <w:sz w:val="18"/>
                <w:szCs w:val="18"/>
              </w:rPr>
              <w:t>.</w:t>
            </w:r>
            <w:r w:rsidRPr="001D636D">
              <w:rPr>
                <w:rFonts w:ascii="Calibri" w:eastAsia="Times New Roman" w:hAnsi="Calibri" w:cs="Times New Roman"/>
                <w:color w:val="000000"/>
                <w:sz w:val="18"/>
                <w:szCs w:val="18"/>
              </w:rPr>
              <w:t>*</w:t>
            </w:r>
            <w:r w:rsidRPr="001D636D">
              <w:rPr>
                <w:rFonts w:ascii="Calibri" w:eastAsia="Times New Roman" w:hAnsi="Calibri" w:cs="Times New Roman"/>
                <w:color w:val="000000"/>
                <w:sz w:val="18"/>
                <w:szCs w:val="18"/>
              </w:rPr>
              <w:br/>
              <w:t>1.98</w:t>
            </w:r>
            <w:r w:rsidR="00D3772B">
              <w:rPr>
                <w:rFonts w:ascii="Calibri" w:eastAsia="Times New Roman" w:hAnsi="Calibri" w:cs="Times New Roman"/>
                <w:color w:val="000000"/>
                <w:sz w:val="18"/>
                <w:szCs w:val="18"/>
              </w:rPr>
              <w:t>1</w:t>
            </w:r>
            <w:r w:rsidRPr="001D636D">
              <w:rPr>
                <w:rFonts w:ascii="Calibri" w:eastAsia="Times New Roman" w:hAnsi="Calibri" w:cs="Times New Roman"/>
                <w:color w:val="000000"/>
                <w:sz w:val="18"/>
                <w:szCs w:val="18"/>
              </w:rPr>
              <w:t>% (100-1.98</w:t>
            </w:r>
            <w:r w:rsidR="00D3772B">
              <w:rPr>
                <w:rFonts w:ascii="Calibri" w:eastAsia="Times New Roman" w:hAnsi="Calibri" w:cs="Times New Roman"/>
                <w:color w:val="000000"/>
                <w:sz w:val="18"/>
                <w:szCs w:val="18"/>
              </w:rPr>
              <w:t>1</w:t>
            </w:r>
            <w:r w:rsidRPr="001D636D">
              <w:rPr>
                <w:rFonts w:ascii="Calibri" w:eastAsia="Times New Roman" w:hAnsi="Calibri" w:cs="Times New Roman"/>
                <w:color w:val="000000"/>
                <w:sz w:val="18"/>
                <w:szCs w:val="18"/>
              </w:rPr>
              <w:t>) equals 98.01</w:t>
            </w:r>
            <w:r w:rsidR="00D3772B">
              <w:rPr>
                <w:rFonts w:ascii="Calibri" w:eastAsia="Times New Roman" w:hAnsi="Calibri" w:cs="Times New Roman"/>
                <w:color w:val="000000"/>
                <w:sz w:val="18"/>
                <w:szCs w:val="18"/>
              </w:rPr>
              <w:t>9</w:t>
            </w:r>
            <w:r w:rsidR="00023BC3" w:rsidRPr="001D636D">
              <w:rPr>
                <w:rFonts w:ascii="Calibri" w:eastAsia="Times New Roman" w:hAnsi="Calibri" w:cs="Times New Roman"/>
                <w:color w:val="000000"/>
                <w:sz w:val="18"/>
                <w:szCs w:val="18"/>
              </w:rPr>
              <w:t xml:space="preserve">                         </w:t>
            </w:r>
            <w:r w:rsidR="00D3772B">
              <w:rPr>
                <w:rFonts w:ascii="Calibri" w:eastAsia="Times New Roman" w:hAnsi="Calibri" w:cs="Times New Roman"/>
                <w:color w:val="000000"/>
                <w:sz w:val="18"/>
                <w:szCs w:val="18"/>
              </w:rPr>
              <w:t xml:space="preserve">     </w:t>
            </w:r>
            <w:r w:rsidR="00B67FC1" w:rsidRPr="001D636D">
              <w:rPr>
                <w:rFonts w:ascii="Calibri" w:eastAsia="Times New Roman" w:hAnsi="Calibri" w:cs="Times New Roman"/>
                <w:color w:val="000000"/>
                <w:sz w:val="18"/>
                <w:szCs w:val="18"/>
              </w:rPr>
              <w:t>UST 2yr equals $19</w:t>
            </w:r>
            <w:r w:rsidR="00637062">
              <w:rPr>
                <w:rFonts w:ascii="Calibri" w:eastAsia="Times New Roman" w:hAnsi="Calibri" w:cs="Times New Roman"/>
                <w:color w:val="000000"/>
                <w:sz w:val="18"/>
                <w:szCs w:val="18"/>
              </w:rPr>
              <w:t>0</w:t>
            </w:r>
            <w:r w:rsidR="00B67FC1" w:rsidRPr="001D636D">
              <w:rPr>
                <w:rFonts w:ascii="Calibri" w:eastAsia="Times New Roman" w:hAnsi="Calibri" w:cs="Times New Roman"/>
                <w:color w:val="000000"/>
                <w:sz w:val="18"/>
                <w:szCs w:val="18"/>
              </w:rPr>
              <w:t xml:space="preserve"> </w:t>
            </w:r>
            <w:r w:rsidR="00CA4FB8">
              <w:rPr>
                <w:rFonts w:ascii="Calibri" w:eastAsia="Times New Roman" w:hAnsi="Calibri" w:cs="Times New Roman"/>
                <w:color w:val="000000"/>
                <w:sz w:val="18"/>
                <w:szCs w:val="18"/>
              </w:rPr>
              <w:t xml:space="preserve">  </w:t>
            </w:r>
            <w:r w:rsidR="00B67FC1" w:rsidRPr="001D636D">
              <w:rPr>
                <w:rFonts w:ascii="Calibri" w:eastAsia="Times New Roman" w:hAnsi="Calibri" w:cs="Times New Roman"/>
                <w:color w:val="000000"/>
                <w:sz w:val="18"/>
                <w:szCs w:val="18"/>
              </w:rPr>
              <w:t>[0.</w:t>
            </w:r>
            <w:r w:rsidR="009127A2">
              <w:rPr>
                <w:rFonts w:ascii="Calibri" w:eastAsia="Times New Roman" w:hAnsi="Calibri" w:cs="Times New Roman"/>
                <w:color w:val="000000"/>
                <w:sz w:val="18"/>
                <w:szCs w:val="18"/>
              </w:rPr>
              <w:t>00</w:t>
            </w:r>
            <w:r w:rsidR="00B67FC1" w:rsidRPr="001D636D">
              <w:rPr>
                <w:rFonts w:ascii="Calibri" w:eastAsia="Times New Roman" w:hAnsi="Calibri" w:cs="Times New Roman"/>
                <w:color w:val="000000"/>
                <w:sz w:val="18"/>
                <w:szCs w:val="18"/>
              </w:rPr>
              <w:t>2 = $</w:t>
            </w:r>
            <w:r w:rsidR="00B1458F">
              <w:rPr>
                <w:rFonts w:ascii="Calibri" w:eastAsia="Times New Roman" w:hAnsi="Calibri" w:cs="Times New Roman"/>
                <w:color w:val="000000"/>
                <w:sz w:val="18"/>
                <w:szCs w:val="18"/>
              </w:rPr>
              <w:t>38</w:t>
            </w:r>
            <w:r w:rsidR="00B67FC1" w:rsidRPr="001D636D">
              <w:rPr>
                <w:rFonts w:ascii="Calibri" w:eastAsia="Times New Roman" w:hAnsi="Calibri" w:cs="Times New Roman"/>
                <w:color w:val="000000"/>
                <w:sz w:val="18"/>
                <w:szCs w:val="18"/>
              </w:rPr>
              <w:t>.</w:t>
            </w:r>
            <w:r w:rsidR="00B1458F">
              <w:rPr>
                <w:rFonts w:ascii="Calibri" w:eastAsia="Times New Roman" w:hAnsi="Calibri" w:cs="Times New Roman"/>
                <w:color w:val="000000"/>
                <w:sz w:val="18"/>
                <w:szCs w:val="18"/>
              </w:rPr>
              <w:t>0</w:t>
            </w:r>
            <w:r w:rsidR="00B67FC1" w:rsidRPr="001D636D">
              <w:rPr>
                <w:rFonts w:ascii="Calibri" w:eastAsia="Times New Roman" w:hAnsi="Calibri" w:cs="Times New Roman"/>
                <w:color w:val="000000"/>
                <w:sz w:val="18"/>
                <w:szCs w:val="18"/>
              </w:rPr>
              <w:t>0</w:t>
            </w:r>
            <w:r w:rsidR="00023BC3" w:rsidRPr="001D636D">
              <w:rPr>
                <w:rFonts w:ascii="Calibri" w:eastAsia="Times New Roman" w:hAnsi="Calibri" w:cs="Times New Roman"/>
                <w:color w:val="000000"/>
                <w:sz w:val="18"/>
                <w:szCs w:val="18"/>
              </w:rPr>
              <w:t>]</w:t>
            </w:r>
            <w:r w:rsidRPr="001D636D">
              <w:rPr>
                <w:rFonts w:ascii="Calibri" w:eastAsia="Times New Roman" w:hAnsi="Calibri" w:cs="Times New Roman"/>
                <w:color w:val="000000"/>
                <w:sz w:val="18"/>
                <w:szCs w:val="18"/>
              </w:rPr>
              <w:br/>
              <w:t>1.98</w:t>
            </w:r>
            <w:r w:rsidR="00D3772B">
              <w:rPr>
                <w:rFonts w:ascii="Calibri" w:eastAsia="Times New Roman" w:hAnsi="Calibri" w:cs="Times New Roman"/>
                <w:color w:val="000000"/>
                <w:sz w:val="18"/>
                <w:szCs w:val="18"/>
              </w:rPr>
              <w:t>2</w:t>
            </w:r>
            <w:r w:rsidRPr="001D636D">
              <w:rPr>
                <w:rFonts w:ascii="Calibri" w:eastAsia="Times New Roman" w:hAnsi="Calibri" w:cs="Times New Roman"/>
                <w:color w:val="000000"/>
                <w:sz w:val="18"/>
                <w:szCs w:val="18"/>
              </w:rPr>
              <w:t>% (100-1.98</w:t>
            </w:r>
            <w:r w:rsidR="00D3772B">
              <w:rPr>
                <w:rFonts w:ascii="Calibri" w:eastAsia="Times New Roman" w:hAnsi="Calibri" w:cs="Times New Roman"/>
                <w:color w:val="000000"/>
                <w:sz w:val="18"/>
                <w:szCs w:val="18"/>
              </w:rPr>
              <w:t>2</w:t>
            </w:r>
            <w:r w:rsidRPr="001D636D">
              <w:rPr>
                <w:rFonts w:ascii="Calibri" w:eastAsia="Times New Roman" w:hAnsi="Calibri" w:cs="Times New Roman"/>
                <w:color w:val="000000"/>
                <w:sz w:val="18"/>
                <w:szCs w:val="18"/>
              </w:rPr>
              <w:t>) equals 98.01</w:t>
            </w:r>
            <w:r w:rsidR="00D3772B">
              <w:rPr>
                <w:rFonts w:ascii="Calibri" w:eastAsia="Times New Roman" w:hAnsi="Calibri" w:cs="Times New Roman"/>
                <w:color w:val="000000"/>
                <w:sz w:val="18"/>
                <w:szCs w:val="18"/>
              </w:rPr>
              <w:t>8</w:t>
            </w:r>
            <w:r w:rsidRPr="001D636D">
              <w:rPr>
                <w:rFonts w:ascii="Calibri" w:eastAsia="Times New Roman" w:hAnsi="Calibri" w:cs="Times New Roman"/>
                <w:color w:val="000000"/>
                <w:sz w:val="18"/>
                <w:szCs w:val="18"/>
              </w:rPr>
              <w:t xml:space="preserve"> </w:t>
            </w:r>
            <w:r w:rsidR="00023BC3" w:rsidRPr="001D636D">
              <w:rPr>
                <w:rFonts w:ascii="Calibri" w:eastAsia="Times New Roman" w:hAnsi="Calibri" w:cs="Times New Roman"/>
                <w:color w:val="000000"/>
                <w:sz w:val="18"/>
                <w:szCs w:val="18"/>
              </w:rPr>
              <w:t xml:space="preserve">                             UST 5yr equals $</w:t>
            </w:r>
            <w:r w:rsidR="00637062">
              <w:rPr>
                <w:rFonts w:ascii="Calibri" w:eastAsia="Times New Roman" w:hAnsi="Calibri" w:cs="Times New Roman"/>
                <w:color w:val="000000"/>
                <w:sz w:val="18"/>
                <w:szCs w:val="18"/>
              </w:rPr>
              <w:t>460</w:t>
            </w:r>
            <w:r w:rsidR="00023BC3" w:rsidRPr="001D636D">
              <w:rPr>
                <w:rFonts w:ascii="Calibri" w:eastAsia="Times New Roman" w:hAnsi="Calibri" w:cs="Times New Roman"/>
                <w:color w:val="000000"/>
                <w:sz w:val="18"/>
                <w:szCs w:val="18"/>
              </w:rPr>
              <w:t xml:space="preserve"> </w:t>
            </w:r>
            <w:r w:rsidR="00CA4FB8">
              <w:rPr>
                <w:rFonts w:ascii="Calibri" w:eastAsia="Times New Roman" w:hAnsi="Calibri" w:cs="Times New Roman"/>
                <w:color w:val="000000"/>
                <w:sz w:val="18"/>
                <w:szCs w:val="18"/>
              </w:rPr>
              <w:t xml:space="preserve">  </w:t>
            </w:r>
            <w:r w:rsidR="00023BC3" w:rsidRPr="001D636D">
              <w:rPr>
                <w:rFonts w:ascii="Calibri" w:eastAsia="Times New Roman" w:hAnsi="Calibri" w:cs="Times New Roman"/>
                <w:color w:val="000000"/>
                <w:sz w:val="18"/>
                <w:szCs w:val="18"/>
              </w:rPr>
              <w:t>[0.</w:t>
            </w:r>
            <w:r w:rsidR="009127A2">
              <w:rPr>
                <w:rFonts w:ascii="Calibri" w:eastAsia="Times New Roman" w:hAnsi="Calibri" w:cs="Times New Roman"/>
                <w:color w:val="000000"/>
                <w:sz w:val="18"/>
                <w:szCs w:val="18"/>
              </w:rPr>
              <w:t>00</w:t>
            </w:r>
            <w:r w:rsidR="00B1458F">
              <w:rPr>
                <w:rFonts w:ascii="Calibri" w:eastAsia="Times New Roman" w:hAnsi="Calibri" w:cs="Times New Roman"/>
                <w:color w:val="000000"/>
                <w:sz w:val="18"/>
                <w:szCs w:val="18"/>
              </w:rPr>
              <w:t>1</w:t>
            </w:r>
            <w:r w:rsidR="00023BC3" w:rsidRPr="001D636D">
              <w:rPr>
                <w:rFonts w:ascii="Calibri" w:eastAsia="Times New Roman" w:hAnsi="Calibri" w:cs="Times New Roman"/>
                <w:color w:val="000000"/>
                <w:sz w:val="18"/>
                <w:szCs w:val="18"/>
              </w:rPr>
              <w:t xml:space="preserve"> = $</w:t>
            </w:r>
            <w:r w:rsidR="00B1458F">
              <w:rPr>
                <w:rFonts w:ascii="Calibri" w:eastAsia="Times New Roman" w:hAnsi="Calibri" w:cs="Times New Roman"/>
                <w:color w:val="000000"/>
                <w:sz w:val="18"/>
                <w:szCs w:val="18"/>
              </w:rPr>
              <w:t>46</w:t>
            </w:r>
            <w:r w:rsidR="00023BC3" w:rsidRPr="001D636D">
              <w:rPr>
                <w:rFonts w:ascii="Calibri" w:eastAsia="Times New Roman" w:hAnsi="Calibri" w:cs="Times New Roman"/>
                <w:color w:val="000000"/>
                <w:sz w:val="18"/>
                <w:szCs w:val="18"/>
              </w:rPr>
              <w:t>.00]</w:t>
            </w:r>
            <w:r w:rsidRPr="001D636D">
              <w:rPr>
                <w:rFonts w:ascii="Calibri" w:eastAsia="Times New Roman" w:hAnsi="Calibri" w:cs="Times New Roman"/>
                <w:color w:val="000000"/>
                <w:sz w:val="18"/>
                <w:szCs w:val="18"/>
              </w:rPr>
              <w:br/>
              <w:t>1.98</w:t>
            </w:r>
            <w:r w:rsidR="00D3772B">
              <w:rPr>
                <w:rFonts w:ascii="Calibri" w:eastAsia="Times New Roman" w:hAnsi="Calibri" w:cs="Times New Roman"/>
                <w:color w:val="000000"/>
                <w:sz w:val="18"/>
                <w:szCs w:val="18"/>
              </w:rPr>
              <w:t>3</w:t>
            </w:r>
            <w:r w:rsidRPr="001D636D">
              <w:rPr>
                <w:rFonts w:ascii="Calibri" w:eastAsia="Times New Roman" w:hAnsi="Calibri" w:cs="Times New Roman"/>
                <w:color w:val="000000"/>
                <w:sz w:val="18"/>
                <w:szCs w:val="18"/>
              </w:rPr>
              <w:t>% (100- 1.98</w:t>
            </w:r>
            <w:r w:rsidR="00D3772B">
              <w:rPr>
                <w:rFonts w:ascii="Calibri" w:eastAsia="Times New Roman" w:hAnsi="Calibri" w:cs="Times New Roman"/>
                <w:color w:val="000000"/>
                <w:sz w:val="18"/>
                <w:szCs w:val="18"/>
              </w:rPr>
              <w:t>3</w:t>
            </w:r>
            <w:r w:rsidRPr="001D636D">
              <w:rPr>
                <w:rFonts w:ascii="Calibri" w:eastAsia="Times New Roman" w:hAnsi="Calibri" w:cs="Times New Roman"/>
                <w:color w:val="000000"/>
                <w:sz w:val="18"/>
                <w:szCs w:val="18"/>
              </w:rPr>
              <w:t>) equals 98.01</w:t>
            </w:r>
            <w:r w:rsidR="00D3772B">
              <w:rPr>
                <w:rFonts w:ascii="Calibri" w:eastAsia="Times New Roman" w:hAnsi="Calibri" w:cs="Times New Roman"/>
                <w:color w:val="000000"/>
                <w:sz w:val="18"/>
                <w:szCs w:val="18"/>
              </w:rPr>
              <w:t>7</w:t>
            </w:r>
            <w:r w:rsidR="00023BC3" w:rsidRPr="001D636D">
              <w:rPr>
                <w:rFonts w:ascii="Calibri" w:eastAsia="Times New Roman" w:hAnsi="Calibri" w:cs="Times New Roman"/>
                <w:color w:val="000000"/>
                <w:sz w:val="18"/>
                <w:szCs w:val="18"/>
              </w:rPr>
              <w:t xml:space="preserve">                        </w:t>
            </w:r>
            <w:r w:rsidR="00B14E38">
              <w:rPr>
                <w:rFonts w:ascii="Calibri" w:eastAsia="Times New Roman" w:hAnsi="Calibri" w:cs="Times New Roman"/>
                <w:color w:val="000000"/>
                <w:sz w:val="18"/>
                <w:szCs w:val="18"/>
              </w:rPr>
              <w:t xml:space="preserve">     </w:t>
            </w:r>
            <w:r w:rsidR="00023BC3" w:rsidRPr="001D636D">
              <w:rPr>
                <w:rFonts w:ascii="Calibri" w:eastAsia="Times New Roman" w:hAnsi="Calibri" w:cs="Times New Roman"/>
                <w:color w:val="000000"/>
                <w:sz w:val="18"/>
                <w:szCs w:val="18"/>
              </w:rPr>
              <w:t>UST 10yr equals $</w:t>
            </w:r>
            <w:r w:rsidR="00637062">
              <w:rPr>
                <w:rFonts w:ascii="Calibri" w:eastAsia="Times New Roman" w:hAnsi="Calibri" w:cs="Times New Roman"/>
                <w:color w:val="000000"/>
                <w:sz w:val="18"/>
                <w:szCs w:val="18"/>
              </w:rPr>
              <w:t>860</w:t>
            </w:r>
            <w:r w:rsidR="00023BC3" w:rsidRPr="001D636D">
              <w:rPr>
                <w:rFonts w:ascii="Calibri" w:eastAsia="Times New Roman" w:hAnsi="Calibri" w:cs="Times New Roman"/>
                <w:color w:val="000000"/>
                <w:sz w:val="18"/>
                <w:szCs w:val="18"/>
              </w:rPr>
              <w:t xml:space="preserve"> </w:t>
            </w:r>
            <w:r w:rsidR="00CA4FB8">
              <w:rPr>
                <w:rFonts w:ascii="Calibri" w:eastAsia="Times New Roman" w:hAnsi="Calibri" w:cs="Times New Roman"/>
                <w:color w:val="000000"/>
                <w:sz w:val="18"/>
                <w:szCs w:val="18"/>
              </w:rPr>
              <w:t xml:space="preserve">  </w:t>
            </w:r>
            <w:r w:rsidR="00023BC3" w:rsidRPr="001D636D">
              <w:rPr>
                <w:rFonts w:ascii="Calibri" w:eastAsia="Times New Roman" w:hAnsi="Calibri" w:cs="Times New Roman"/>
                <w:color w:val="000000"/>
                <w:sz w:val="18"/>
                <w:szCs w:val="18"/>
              </w:rPr>
              <w:t>[0.</w:t>
            </w:r>
            <w:r w:rsidR="009127A2">
              <w:rPr>
                <w:rFonts w:ascii="Calibri" w:eastAsia="Times New Roman" w:hAnsi="Calibri" w:cs="Times New Roman"/>
                <w:color w:val="000000"/>
                <w:sz w:val="18"/>
                <w:szCs w:val="18"/>
              </w:rPr>
              <w:t>00</w:t>
            </w:r>
            <w:r w:rsidR="00B1458F">
              <w:rPr>
                <w:rFonts w:ascii="Calibri" w:eastAsia="Times New Roman" w:hAnsi="Calibri" w:cs="Times New Roman"/>
                <w:color w:val="000000"/>
                <w:sz w:val="18"/>
                <w:szCs w:val="18"/>
              </w:rPr>
              <w:t>1</w:t>
            </w:r>
            <w:r w:rsidR="00023BC3" w:rsidRPr="001D636D">
              <w:rPr>
                <w:rFonts w:ascii="Calibri" w:eastAsia="Times New Roman" w:hAnsi="Calibri" w:cs="Times New Roman"/>
                <w:color w:val="000000"/>
                <w:sz w:val="18"/>
                <w:szCs w:val="18"/>
              </w:rPr>
              <w:t xml:space="preserve"> = $</w:t>
            </w:r>
            <w:r w:rsidR="00B1458F">
              <w:rPr>
                <w:rFonts w:ascii="Calibri" w:eastAsia="Times New Roman" w:hAnsi="Calibri" w:cs="Times New Roman"/>
                <w:color w:val="000000"/>
                <w:sz w:val="18"/>
                <w:szCs w:val="18"/>
              </w:rPr>
              <w:t>86</w:t>
            </w:r>
            <w:r w:rsidR="00023BC3" w:rsidRPr="001D636D">
              <w:rPr>
                <w:rFonts w:ascii="Calibri" w:eastAsia="Times New Roman" w:hAnsi="Calibri" w:cs="Times New Roman"/>
                <w:color w:val="000000"/>
                <w:sz w:val="18"/>
                <w:szCs w:val="18"/>
              </w:rPr>
              <w:t>.00]</w:t>
            </w:r>
            <w:r w:rsidRPr="001D636D">
              <w:rPr>
                <w:rFonts w:ascii="Calibri" w:eastAsia="Times New Roman" w:hAnsi="Calibri" w:cs="Times New Roman"/>
                <w:color w:val="000000"/>
                <w:sz w:val="18"/>
                <w:szCs w:val="18"/>
              </w:rPr>
              <w:br/>
              <w:t>1.9</w:t>
            </w:r>
            <w:r w:rsidR="00D3772B">
              <w:rPr>
                <w:rFonts w:ascii="Calibri" w:eastAsia="Times New Roman" w:hAnsi="Calibri" w:cs="Times New Roman"/>
                <w:color w:val="000000"/>
                <w:sz w:val="18"/>
                <w:szCs w:val="18"/>
              </w:rPr>
              <w:t>84</w:t>
            </w:r>
            <w:r w:rsidRPr="001D636D">
              <w:rPr>
                <w:rFonts w:ascii="Calibri" w:eastAsia="Times New Roman" w:hAnsi="Calibri" w:cs="Times New Roman"/>
                <w:color w:val="000000"/>
                <w:sz w:val="18"/>
                <w:szCs w:val="18"/>
              </w:rPr>
              <w:t>% (100- 1.9</w:t>
            </w:r>
            <w:r w:rsidR="00D3772B">
              <w:rPr>
                <w:rFonts w:ascii="Calibri" w:eastAsia="Times New Roman" w:hAnsi="Calibri" w:cs="Times New Roman"/>
                <w:color w:val="000000"/>
                <w:sz w:val="18"/>
                <w:szCs w:val="18"/>
              </w:rPr>
              <w:t>84</w:t>
            </w:r>
            <w:r w:rsidRPr="001D636D">
              <w:rPr>
                <w:rFonts w:ascii="Calibri" w:eastAsia="Times New Roman" w:hAnsi="Calibri" w:cs="Times New Roman"/>
                <w:color w:val="000000"/>
                <w:sz w:val="18"/>
                <w:szCs w:val="18"/>
              </w:rPr>
              <w:t>) equals 98.01</w:t>
            </w:r>
            <w:r w:rsidR="00D3772B">
              <w:rPr>
                <w:rFonts w:ascii="Calibri" w:eastAsia="Times New Roman" w:hAnsi="Calibri" w:cs="Times New Roman"/>
                <w:color w:val="000000"/>
                <w:sz w:val="18"/>
                <w:szCs w:val="18"/>
              </w:rPr>
              <w:t>6</w:t>
            </w:r>
            <w:r w:rsidR="00023BC3" w:rsidRPr="001D636D">
              <w:rPr>
                <w:rFonts w:ascii="Calibri" w:eastAsia="Times New Roman" w:hAnsi="Calibri" w:cs="Times New Roman"/>
                <w:color w:val="000000"/>
                <w:sz w:val="18"/>
                <w:szCs w:val="18"/>
              </w:rPr>
              <w:t xml:space="preserve">                         </w:t>
            </w:r>
            <w:r w:rsidR="00B14E38">
              <w:rPr>
                <w:rFonts w:ascii="Calibri" w:eastAsia="Times New Roman" w:hAnsi="Calibri" w:cs="Times New Roman"/>
                <w:color w:val="000000"/>
                <w:sz w:val="18"/>
                <w:szCs w:val="18"/>
              </w:rPr>
              <w:t xml:space="preserve">    </w:t>
            </w:r>
            <w:r w:rsidR="00023BC3" w:rsidRPr="001D636D">
              <w:rPr>
                <w:rFonts w:ascii="Calibri" w:eastAsia="Times New Roman" w:hAnsi="Calibri" w:cs="Times New Roman"/>
                <w:color w:val="000000"/>
                <w:sz w:val="18"/>
                <w:szCs w:val="18"/>
              </w:rPr>
              <w:t>UST 30yr equals $</w:t>
            </w:r>
            <w:r w:rsidR="00637062">
              <w:rPr>
                <w:rFonts w:ascii="Calibri" w:eastAsia="Times New Roman" w:hAnsi="Calibri" w:cs="Times New Roman"/>
                <w:color w:val="000000"/>
                <w:sz w:val="18"/>
                <w:szCs w:val="18"/>
              </w:rPr>
              <w:t>1940</w:t>
            </w:r>
            <w:r w:rsidR="00023BC3" w:rsidRPr="001D636D">
              <w:rPr>
                <w:rFonts w:ascii="Calibri" w:eastAsia="Times New Roman" w:hAnsi="Calibri" w:cs="Times New Roman"/>
                <w:color w:val="000000"/>
                <w:sz w:val="18"/>
                <w:szCs w:val="18"/>
              </w:rPr>
              <w:t xml:space="preserve"> </w:t>
            </w:r>
            <w:r w:rsidR="00CA4FB8">
              <w:rPr>
                <w:rFonts w:ascii="Calibri" w:eastAsia="Times New Roman" w:hAnsi="Calibri" w:cs="Times New Roman"/>
                <w:color w:val="000000"/>
                <w:sz w:val="18"/>
                <w:szCs w:val="18"/>
              </w:rPr>
              <w:t xml:space="preserve">  </w:t>
            </w:r>
            <w:r w:rsidR="00023BC3" w:rsidRPr="001D636D">
              <w:rPr>
                <w:rFonts w:ascii="Calibri" w:eastAsia="Times New Roman" w:hAnsi="Calibri" w:cs="Times New Roman"/>
                <w:color w:val="000000"/>
                <w:sz w:val="18"/>
                <w:szCs w:val="18"/>
              </w:rPr>
              <w:t>[0.</w:t>
            </w:r>
            <w:r w:rsidR="009127A2">
              <w:rPr>
                <w:rFonts w:ascii="Calibri" w:eastAsia="Times New Roman" w:hAnsi="Calibri" w:cs="Times New Roman"/>
                <w:color w:val="000000"/>
                <w:sz w:val="18"/>
                <w:szCs w:val="18"/>
              </w:rPr>
              <w:t>00</w:t>
            </w:r>
            <w:r w:rsidR="00B1458F">
              <w:rPr>
                <w:rFonts w:ascii="Calibri" w:eastAsia="Times New Roman" w:hAnsi="Calibri" w:cs="Times New Roman"/>
                <w:color w:val="000000"/>
                <w:sz w:val="18"/>
                <w:szCs w:val="18"/>
              </w:rPr>
              <w:t>1</w:t>
            </w:r>
            <w:r w:rsidR="00637062">
              <w:rPr>
                <w:rFonts w:ascii="Calibri" w:eastAsia="Times New Roman" w:hAnsi="Calibri" w:cs="Times New Roman"/>
                <w:color w:val="000000"/>
                <w:sz w:val="18"/>
                <w:szCs w:val="18"/>
              </w:rPr>
              <w:t xml:space="preserve"> = $</w:t>
            </w:r>
            <w:r w:rsidR="00B1458F">
              <w:rPr>
                <w:rFonts w:ascii="Calibri" w:eastAsia="Times New Roman" w:hAnsi="Calibri" w:cs="Times New Roman"/>
                <w:color w:val="000000"/>
                <w:sz w:val="18"/>
                <w:szCs w:val="18"/>
              </w:rPr>
              <w:t>194</w:t>
            </w:r>
            <w:r w:rsidR="00023BC3" w:rsidRPr="001D636D">
              <w:rPr>
                <w:rFonts w:ascii="Calibri" w:eastAsia="Times New Roman" w:hAnsi="Calibri" w:cs="Times New Roman"/>
                <w:color w:val="000000"/>
                <w:sz w:val="18"/>
                <w:szCs w:val="18"/>
              </w:rPr>
              <w:t>.00]</w:t>
            </w:r>
          </w:p>
          <w:p w:rsidR="00FF1A24" w:rsidRPr="001D636D" w:rsidRDefault="00FF1A24" w:rsidP="00C84B7C">
            <w:pPr>
              <w:spacing w:after="0" w:line="240" w:lineRule="auto"/>
              <w:rPr>
                <w:rFonts w:ascii="Calibri" w:eastAsia="Times New Roman" w:hAnsi="Calibri" w:cs="Times New Roman"/>
                <w:color w:val="000000"/>
                <w:sz w:val="18"/>
                <w:szCs w:val="18"/>
              </w:rPr>
            </w:pPr>
          </w:p>
          <w:p w:rsidR="00FF1A24" w:rsidRPr="001D636D" w:rsidRDefault="00023BC3" w:rsidP="006B7F91">
            <w:pPr>
              <w:spacing w:after="0" w:line="240" w:lineRule="auto"/>
              <w:rPr>
                <w:rFonts w:ascii="Calibri" w:eastAsia="Times New Roman" w:hAnsi="Calibri" w:cs="Times New Roman"/>
                <w:color w:val="000000"/>
                <w:sz w:val="18"/>
                <w:szCs w:val="18"/>
              </w:rPr>
            </w:pPr>
            <w:r w:rsidRPr="001D636D">
              <w:rPr>
                <w:rFonts w:ascii="Calibri" w:eastAsia="Times New Roman" w:hAnsi="Calibri" w:cs="Times New Roman"/>
                <w:color w:val="000000"/>
                <w:sz w:val="18"/>
                <w:szCs w:val="18"/>
              </w:rPr>
              <w:t>*</w:t>
            </w:r>
            <w:r w:rsidR="00637062">
              <w:rPr>
                <w:rFonts w:ascii="Calibri" w:eastAsia="Times New Roman" w:hAnsi="Calibri" w:cs="Times New Roman"/>
                <w:color w:val="000000"/>
                <w:sz w:val="18"/>
                <w:szCs w:val="18"/>
              </w:rPr>
              <w:t>For clarification, e</w:t>
            </w:r>
            <w:r w:rsidRPr="001D636D">
              <w:rPr>
                <w:rFonts w:ascii="Calibri" w:eastAsia="Times New Roman" w:hAnsi="Calibri" w:cs="Times New Roman"/>
                <w:color w:val="000000"/>
                <w:sz w:val="18"/>
                <w:szCs w:val="18"/>
              </w:rPr>
              <w:t xml:space="preserve">ach </w:t>
            </w:r>
            <w:r w:rsidR="00087C5C">
              <w:rPr>
                <w:rFonts w:ascii="Calibri" w:eastAsia="Times New Roman" w:hAnsi="Calibri" w:cs="Times New Roman"/>
                <w:color w:val="000000"/>
                <w:sz w:val="18"/>
                <w:szCs w:val="18"/>
              </w:rPr>
              <w:t>contract month</w:t>
            </w:r>
            <w:r w:rsidRPr="001D636D">
              <w:rPr>
                <w:rFonts w:ascii="Calibri" w:eastAsia="Times New Roman" w:hAnsi="Calibri" w:cs="Times New Roman"/>
                <w:color w:val="000000"/>
                <w:sz w:val="18"/>
                <w:szCs w:val="18"/>
              </w:rPr>
              <w:t xml:space="preserve"> will </w:t>
            </w:r>
            <w:r w:rsidR="00637062">
              <w:rPr>
                <w:rFonts w:ascii="Calibri" w:eastAsia="Times New Roman" w:hAnsi="Calibri" w:cs="Times New Roman"/>
                <w:color w:val="000000"/>
                <w:sz w:val="18"/>
                <w:szCs w:val="18"/>
              </w:rPr>
              <w:t>be listed with an updated</w:t>
            </w:r>
            <w:r w:rsidRPr="001D636D">
              <w:rPr>
                <w:rFonts w:ascii="Calibri" w:eastAsia="Times New Roman" w:hAnsi="Calibri" w:cs="Times New Roman"/>
                <w:color w:val="000000"/>
                <w:sz w:val="18"/>
                <w:szCs w:val="18"/>
              </w:rPr>
              <w:t xml:space="preserve"> </w:t>
            </w:r>
            <w:r w:rsidR="00637062">
              <w:rPr>
                <w:rFonts w:ascii="Calibri" w:eastAsia="Times New Roman" w:hAnsi="Calibri" w:cs="Times New Roman"/>
                <w:color w:val="000000"/>
                <w:sz w:val="18"/>
                <w:szCs w:val="18"/>
              </w:rPr>
              <w:t>DV01</w:t>
            </w:r>
            <w:r w:rsidR="009127A2">
              <w:rPr>
                <w:rFonts w:ascii="Calibri" w:eastAsia="Times New Roman" w:hAnsi="Calibri" w:cs="Times New Roman"/>
                <w:color w:val="000000"/>
                <w:sz w:val="18"/>
                <w:szCs w:val="18"/>
              </w:rPr>
              <w:t xml:space="preserve"> </w:t>
            </w:r>
            <w:r w:rsidRPr="001D636D">
              <w:rPr>
                <w:rFonts w:ascii="Calibri" w:eastAsia="Times New Roman" w:hAnsi="Calibri" w:cs="Times New Roman"/>
                <w:color w:val="000000"/>
                <w:sz w:val="18"/>
                <w:szCs w:val="18"/>
              </w:rPr>
              <w:t xml:space="preserve">dollar value corresponding to the respective </w:t>
            </w:r>
            <w:r w:rsidR="00087C5C" w:rsidRPr="00757113">
              <w:rPr>
                <w:rFonts w:ascii="Calibri" w:hAnsi="Calibri" w:cs="Times New Roman"/>
                <w:sz w:val="18"/>
                <w:szCs w:val="12"/>
              </w:rPr>
              <w:t>On The Run</w:t>
            </w:r>
            <w:r w:rsidR="00087C5C">
              <w:rPr>
                <w:rFonts w:ascii="Calibri" w:hAnsi="Calibri" w:cs="Times New Roman"/>
                <w:sz w:val="18"/>
                <w:szCs w:val="12"/>
              </w:rPr>
              <w:t xml:space="preserve"> U.S. Treasury</w:t>
            </w:r>
            <w:r w:rsidR="00637062">
              <w:rPr>
                <w:rFonts w:ascii="Calibri" w:eastAsia="Times New Roman" w:hAnsi="Calibri" w:cs="Times New Roman"/>
                <w:color w:val="000000"/>
                <w:sz w:val="18"/>
                <w:szCs w:val="18"/>
              </w:rPr>
              <w:t xml:space="preserve"> indicated in an NFX Futures Trader Alert</w:t>
            </w:r>
            <w:r w:rsidRPr="001D636D">
              <w:rPr>
                <w:rFonts w:ascii="Calibri" w:eastAsia="Times New Roman" w:hAnsi="Calibri" w:cs="Times New Roman"/>
                <w:color w:val="000000"/>
                <w:sz w:val="18"/>
                <w:szCs w:val="18"/>
              </w:rPr>
              <w:t>.</w:t>
            </w:r>
          </w:p>
        </w:tc>
      </w:tr>
      <w:tr w:rsidR="00CB345C" w:rsidRPr="008E4618" w:rsidTr="00023BC3">
        <w:trPr>
          <w:trHeight w:val="800"/>
        </w:trPr>
        <w:tc>
          <w:tcPr>
            <w:tcW w:w="2430" w:type="dxa"/>
            <w:tcBorders>
              <w:top w:val="nil"/>
              <w:left w:val="single" w:sz="4" w:space="0" w:color="FFFFFF"/>
              <w:bottom w:val="single" w:sz="4" w:space="0" w:color="6BBACF"/>
              <w:right w:val="single" w:sz="4" w:space="0" w:color="6BBACF"/>
            </w:tcBorders>
            <w:shd w:val="clear" w:color="000000" w:fill="CDE8EF"/>
            <w:noWrap/>
            <w:vAlign w:val="center"/>
            <w:hideMark/>
          </w:tcPr>
          <w:p w:rsidR="00CB345C" w:rsidRPr="008E4618" w:rsidRDefault="00CB345C" w:rsidP="002F42B6">
            <w:pPr>
              <w:spacing w:after="0" w:line="240" w:lineRule="auto"/>
              <w:jc w:val="center"/>
              <w:rPr>
                <w:rFonts w:ascii="Calibri" w:eastAsia="Times New Roman" w:hAnsi="Calibri" w:cs="Times New Roman"/>
                <w:color w:val="000000"/>
                <w:sz w:val="18"/>
                <w:szCs w:val="18"/>
              </w:rPr>
            </w:pPr>
            <w:r w:rsidRPr="008E4618">
              <w:rPr>
                <w:rFonts w:ascii="Calibri" w:eastAsia="Times New Roman" w:hAnsi="Calibri" w:cs="Times New Roman"/>
                <w:color w:val="000000"/>
                <w:sz w:val="18"/>
                <w:szCs w:val="18"/>
              </w:rPr>
              <w:t>DAILY SETTLEMENT PRICE</w:t>
            </w:r>
          </w:p>
        </w:tc>
        <w:tc>
          <w:tcPr>
            <w:tcW w:w="8460" w:type="dxa"/>
            <w:tcBorders>
              <w:top w:val="nil"/>
              <w:left w:val="nil"/>
              <w:bottom w:val="single" w:sz="4" w:space="0" w:color="6BBACF"/>
              <w:right w:val="single" w:sz="4" w:space="0" w:color="FFFFFF"/>
            </w:tcBorders>
            <w:shd w:val="clear" w:color="auto" w:fill="auto"/>
            <w:vAlign w:val="center"/>
          </w:tcPr>
          <w:p w:rsidR="00CB345C" w:rsidRPr="001D636D" w:rsidRDefault="002C0710" w:rsidP="002F42B6">
            <w:pPr>
              <w:spacing w:after="0" w:line="240" w:lineRule="auto"/>
              <w:rPr>
                <w:rFonts w:ascii="Calibri" w:eastAsia="Times New Roman" w:hAnsi="Calibri" w:cs="Times New Roman"/>
                <w:color w:val="000000"/>
                <w:sz w:val="18"/>
                <w:szCs w:val="18"/>
              </w:rPr>
            </w:pPr>
            <w:r w:rsidRPr="007E79EF">
              <w:rPr>
                <w:rFonts w:ascii="Calibri" w:eastAsia="Times New Roman" w:hAnsi="Calibri" w:cs="Times New Roman"/>
                <w:color w:val="000000"/>
                <w:sz w:val="18"/>
                <w:szCs w:val="18"/>
              </w:rPr>
              <w:t>Qu</w:t>
            </w:r>
            <w:r w:rsidR="005A1A40" w:rsidRPr="007E79EF">
              <w:rPr>
                <w:rFonts w:ascii="Calibri" w:eastAsia="Times New Roman" w:hAnsi="Calibri" w:cs="Times New Roman"/>
                <w:color w:val="000000"/>
                <w:sz w:val="18"/>
                <w:szCs w:val="18"/>
              </w:rPr>
              <w:t>ality</w:t>
            </w:r>
            <w:r w:rsidRPr="007E79EF">
              <w:rPr>
                <w:rFonts w:ascii="Calibri" w:eastAsia="Times New Roman" w:hAnsi="Calibri" w:cs="Times New Roman"/>
                <w:color w:val="000000"/>
                <w:sz w:val="18"/>
                <w:szCs w:val="18"/>
              </w:rPr>
              <w:t xml:space="preserve"> Weighted Average Price (</w:t>
            </w:r>
            <w:r w:rsidR="00AF41AA">
              <w:rPr>
                <w:rFonts w:ascii="Calibri" w:eastAsia="Times New Roman" w:hAnsi="Calibri" w:cs="Times New Roman"/>
                <w:color w:val="000000"/>
                <w:sz w:val="18"/>
                <w:szCs w:val="18"/>
              </w:rPr>
              <w:t>“</w:t>
            </w:r>
            <w:r w:rsidRPr="007E79EF">
              <w:rPr>
                <w:rFonts w:ascii="Calibri" w:eastAsia="Times New Roman" w:hAnsi="Calibri" w:cs="Times New Roman"/>
                <w:color w:val="000000"/>
                <w:sz w:val="18"/>
                <w:szCs w:val="18"/>
              </w:rPr>
              <w:t>QWAP</w:t>
            </w:r>
            <w:r w:rsidR="00AF41AA">
              <w:rPr>
                <w:rFonts w:ascii="Calibri" w:eastAsia="Times New Roman" w:hAnsi="Calibri" w:cs="Times New Roman"/>
                <w:color w:val="000000"/>
                <w:sz w:val="18"/>
                <w:szCs w:val="18"/>
              </w:rPr>
              <w:t>”</w:t>
            </w:r>
            <w:r w:rsidRPr="007E79EF">
              <w:rPr>
                <w:rFonts w:ascii="Calibri" w:eastAsia="Times New Roman" w:hAnsi="Calibri" w:cs="Times New Roman"/>
                <w:color w:val="000000"/>
                <w:sz w:val="18"/>
                <w:szCs w:val="18"/>
              </w:rPr>
              <w:t xml:space="preserve">) </w:t>
            </w:r>
            <w:r w:rsidR="00AF41AA" w:rsidRPr="00AF41AA">
              <w:rPr>
                <w:rFonts w:ascii="Calibri" w:eastAsia="Times New Roman" w:hAnsi="Calibri" w:cs="Times New Roman"/>
                <w:color w:val="000000"/>
                <w:sz w:val="18"/>
                <w:szCs w:val="18"/>
              </w:rPr>
              <w:t>shall be determined by reference to the Yield-Derived Price of best bids, best offers, and executed transactions in the corresponding U.S. DV01 Treasury futures on the Nasdaq Futures, Inc. (NFX) Trading System Order Book during the settlement period for the contract (the “Settlement Period”)</w:t>
            </w:r>
            <w:r w:rsidR="00AF41AA">
              <w:rPr>
                <w:rFonts w:ascii="Calibri" w:eastAsia="Times New Roman" w:hAnsi="Calibri" w:cs="Times New Roman"/>
                <w:color w:val="000000"/>
                <w:sz w:val="18"/>
                <w:szCs w:val="18"/>
              </w:rPr>
              <w:t xml:space="preserve"> as described in the Daily Settlement section of each product rule. </w:t>
            </w:r>
          </w:p>
        </w:tc>
      </w:tr>
      <w:tr w:rsidR="00CB345C" w:rsidRPr="008E4618" w:rsidTr="0069530F">
        <w:trPr>
          <w:trHeight w:val="1250"/>
        </w:trPr>
        <w:tc>
          <w:tcPr>
            <w:tcW w:w="2430" w:type="dxa"/>
            <w:tcBorders>
              <w:top w:val="nil"/>
              <w:left w:val="single" w:sz="4" w:space="0" w:color="FFFFFF"/>
              <w:bottom w:val="single" w:sz="4" w:space="0" w:color="6BBACF"/>
              <w:right w:val="single" w:sz="4" w:space="0" w:color="6BBACF"/>
            </w:tcBorders>
            <w:shd w:val="clear" w:color="000000" w:fill="A7D6E3"/>
            <w:noWrap/>
            <w:vAlign w:val="center"/>
            <w:hideMark/>
          </w:tcPr>
          <w:p w:rsidR="00CB345C" w:rsidRPr="008E4618" w:rsidRDefault="00CB345C" w:rsidP="000B0E55">
            <w:pPr>
              <w:spacing w:after="0" w:line="240" w:lineRule="auto"/>
              <w:jc w:val="center"/>
              <w:rPr>
                <w:rFonts w:ascii="Calibri" w:eastAsia="Times New Roman" w:hAnsi="Calibri" w:cs="Times New Roman"/>
                <w:color w:val="000000"/>
                <w:sz w:val="18"/>
                <w:szCs w:val="18"/>
              </w:rPr>
            </w:pPr>
            <w:r w:rsidRPr="008E4618">
              <w:rPr>
                <w:rFonts w:ascii="Calibri" w:eastAsia="Times New Roman" w:hAnsi="Calibri" w:cs="Times New Roman"/>
                <w:color w:val="000000"/>
                <w:sz w:val="18"/>
                <w:szCs w:val="18"/>
              </w:rPr>
              <w:t>LAST TRADING DAY</w:t>
            </w:r>
          </w:p>
        </w:tc>
        <w:tc>
          <w:tcPr>
            <w:tcW w:w="8460" w:type="dxa"/>
            <w:tcBorders>
              <w:top w:val="nil"/>
              <w:left w:val="nil"/>
              <w:bottom w:val="single" w:sz="4" w:space="0" w:color="6BBACF"/>
              <w:right w:val="single" w:sz="4" w:space="0" w:color="FFFFFF"/>
            </w:tcBorders>
            <w:shd w:val="clear" w:color="000000" w:fill="E6E6E6"/>
            <w:vAlign w:val="center"/>
          </w:tcPr>
          <w:p w:rsidR="009127A2" w:rsidRDefault="009127A2" w:rsidP="009127A2">
            <w:pPr>
              <w:spacing w:after="0" w:line="240" w:lineRule="auto"/>
              <w:rPr>
                <w:rFonts w:ascii="Calibri" w:eastAsia="Times New Roman" w:hAnsi="Calibri" w:cs="Times New Roman"/>
                <w:color w:val="000000"/>
                <w:sz w:val="18"/>
                <w:szCs w:val="18"/>
              </w:rPr>
            </w:pPr>
            <w:r w:rsidRPr="009127A2">
              <w:rPr>
                <w:rFonts w:ascii="Calibri" w:eastAsia="Times New Roman" w:hAnsi="Calibri" w:cs="Times New Roman"/>
                <w:color w:val="000000"/>
                <w:sz w:val="18"/>
                <w:szCs w:val="18"/>
              </w:rPr>
              <w:t>2-YR and 5-YR, the last</w:t>
            </w:r>
            <w:r w:rsidR="002F42B6">
              <w:rPr>
                <w:rFonts w:ascii="Calibri" w:eastAsia="Times New Roman" w:hAnsi="Calibri" w:cs="Times New Roman"/>
                <w:color w:val="000000"/>
                <w:sz w:val="18"/>
                <w:szCs w:val="18"/>
              </w:rPr>
              <w:t xml:space="preserve"> NFX</w:t>
            </w:r>
            <w:r w:rsidR="00D8033C">
              <w:rPr>
                <w:rFonts w:ascii="Calibri" w:eastAsia="Times New Roman" w:hAnsi="Calibri" w:cs="Times New Roman"/>
                <w:color w:val="000000"/>
                <w:sz w:val="18"/>
                <w:szCs w:val="18"/>
              </w:rPr>
              <w:t xml:space="preserve"> and NFI</w:t>
            </w:r>
            <w:r w:rsidRPr="009127A2">
              <w:rPr>
                <w:rFonts w:ascii="Calibri" w:eastAsia="Times New Roman" w:hAnsi="Calibri" w:cs="Times New Roman"/>
                <w:color w:val="000000"/>
                <w:sz w:val="18"/>
                <w:szCs w:val="18"/>
              </w:rPr>
              <w:t xml:space="preserve"> trading day of</w:t>
            </w:r>
            <w:r w:rsidR="002F42B6">
              <w:rPr>
                <w:rFonts w:ascii="Calibri" w:eastAsia="Times New Roman" w:hAnsi="Calibri" w:cs="Times New Roman"/>
                <w:color w:val="000000"/>
                <w:sz w:val="18"/>
                <w:szCs w:val="18"/>
              </w:rPr>
              <w:t xml:space="preserve"> the contract month</w:t>
            </w:r>
            <w:r w:rsidR="00985BC5">
              <w:rPr>
                <w:rFonts w:ascii="Calibri" w:eastAsia="Times New Roman" w:hAnsi="Calibri" w:cs="Times New Roman"/>
                <w:color w:val="000000"/>
                <w:sz w:val="18"/>
                <w:szCs w:val="18"/>
              </w:rPr>
              <w:t>; trading ceases at 3 PM EPT</w:t>
            </w:r>
            <w:r w:rsidR="00FB36F4">
              <w:rPr>
                <w:rFonts w:ascii="Calibri" w:eastAsia="Times New Roman" w:hAnsi="Calibri" w:cs="Times New Roman"/>
                <w:color w:val="000000"/>
                <w:sz w:val="18"/>
                <w:szCs w:val="18"/>
              </w:rPr>
              <w:t>.</w:t>
            </w:r>
          </w:p>
          <w:p w:rsidR="002B47F3" w:rsidRDefault="002B47F3" w:rsidP="002F42B6">
            <w:pPr>
              <w:spacing w:after="0" w:line="240" w:lineRule="auto"/>
              <w:rPr>
                <w:rFonts w:ascii="Calibri" w:eastAsia="Times New Roman" w:hAnsi="Calibri" w:cs="Times New Roman"/>
                <w:color w:val="000000"/>
                <w:sz w:val="18"/>
                <w:szCs w:val="18"/>
              </w:rPr>
            </w:pPr>
          </w:p>
          <w:p w:rsidR="005E5C32" w:rsidRPr="001D636D" w:rsidRDefault="009127A2" w:rsidP="006B7F91">
            <w:pPr>
              <w:spacing w:after="0" w:line="240" w:lineRule="auto"/>
              <w:rPr>
                <w:rFonts w:ascii="Calibri" w:eastAsia="Times New Roman" w:hAnsi="Calibri" w:cs="Times New Roman"/>
                <w:color w:val="000000"/>
                <w:sz w:val="18"/>
                <w:szCs w:val="18"/>
              </w:rPr>
            </w:pPr>
            <w:r w:rsidRPr="009127A2">
              <w:rPr>
                <w:rFonts w:ascii="Calibri" w:eastAsia="Times New Roman" w:hAnsi="Calibri" w:cs="Times New Roman"/>
                <w:color w:val="000000"/>
                <w:sz w:val="18"/>
                <w:szCs w:val="18"/>
              </w:rPr>
              <w:t>10-YR and 30-YR, the 15th day of the contract month</w:t>
            </w:r>
            <w:r w:rsidR="002F42B6">
              <w:rPr>
                <w:rFonts w:ascii="Calibri" w:eastAsia="Times New Roman" w:hAnsi="Calibri" w:cs="Times New Roman"/>
                <w:color w:val="000000"/>
                <w:sz w:val="18"/>
                <w:szCs w:val="18"/>
              </w:rPr>
              <w:t xml:space="preserve"> if an NFX</w:t>
            </w:r>
            <w:r w:rsidR="00D8033C">
              <w:rPr>
                <w:rFonts w:ascii="Calibri" w:eastAsia="Times New Roman" w:hAnsi="Calibri" w:cs="Times New Roman"/>
                <w:color w:val="000000"/>
                <w:sz w:val="18"/>
                <w:szCs w:val="18"/>
              </w:rPr>
              <w:t xml:space="preserve"> and NFI</w:t>
            </w:r>
            <w:r w:rsidR="002F42B6">
              <w:rPr>
                <w:rFonts w:ascii="Calibri" w:eastAsia="Times New Roman" w:hAnsi="Calibri" w:cs="Times New Roman"/>
                <w:color w:val="000000"/>
                <w:sz w:val="18"/>
                <w:szCs w:val="18"/>
              </w:rPr>
              <w:t xml:space="preserve"> trading day</w:t>
            </w:r>
            <w:r w:rsidRPr="009127A2">
              <w:rPr>
                <w:rFonts w:ascii="Calibri" w:eastAsia="Times New Roman" w:hAnsi="Calibri" w:cs="Times New Roman"/>
                <w:color w:val="000000"/>
                <w:sz w:val="18"/>
                <w:szCs w:val="18"/>
              </w:rPr>
              <w:t>, other</w:t>
            </w:r>
            <w:r>
              <w:rPr>
                <w:rFonts w:ascii="Calibri" w:eastAsia="Times New Roman" w:hAnsi="Calibri" w:cs="Times New Roman"/>
                <w:color w:val="000000"/>
                <w:sz w:val="18"/>
                <w:szCs w:val="18"/>
              </w:rPr>
              <w:t xml:space="preserve">wise the preceding </w:t>
            </w:r>
            <w:r w:rsidR="002F42B6">
              <w:rPr>
                <w:rFonts w:ascii="Calibri" w:eastAsia="Times New Roman" w:hAnsi="Calibri" w:cs="Times New Roman"/>
                <w:color w:val="000000"/>
                <w:sz w:val="18"/>
                <w:szCs w:val="18"/>
              </w:rPr>
              <w:t>NFX</w:t>
            </w:r>
            <w:r w:rsidR="00D8033C">
              <w:rPr>
                <w:rFonts w:ascii="Calibri" w:eastAsia="Times New Roman" w:hAnsi="Calibri" w:cs="Times New Roman"/>
                <w:color w:val="000000"/>
                <w:sz w:val="18"/>
                <w:szCs w:val="18"/>
              </w:rPr>
              <w:t xml:space="preserve"> and NFI</w:t>
            </w:r>
            <w:r w:rsidR="002F42B6">
              <w:rPr>
                <w:rFonts w:ascii="Calibri" w:eastAsia="Times New Roman" w:hAnsi="Calibri" w:cs="Times New Roman"/>
                <w:color w:val="000000"/>
                <w:sz w:val="18"/>
                <w:szCs w:val="18"/>
              </w:rPr>
              <w:t xml:space="preserve"> trading</w:t>
            </w:r>
            <w:r>
              <w:rPr>
                <w:rFonts w:ascii="Calibri" w:eastAsia="Times New Roman" w:hAnsi="Calibri" w:cs="Times New Roman"/>
                <w:color w:val="000000"/>
                <w:sz w:val="18"/>
                <w:szCs w:val="18"/>
              </w:rPr>
              <w:t xml:space="preserve"> day</w:t>
            </w:r>
            <w:r w:rsidR="00985BC5">
              <w:rPr>
                <w:rFonts w:ascii="Calibri" w:eastAsia="Times New Roman" w:hAnsi="Calibri" w:cs="Times New Roman"/>
                <w:color w:val="000000"/>
                <w:sz w:val="18"/>
                <w:szCs w:val="18"/>
              </w:rPr>
              <w:t>; trading ceases at 3 PM EPT.</w:t>
            </w:r>
          </w:p>
        </w:tc>
      </w:tr>
      <w:tr w:rsidR="00CB345C" w:rsidRPr="008E4618" w:rsidTr="00FF1A24">
        <w:trPr>
          <w:trHeight w:val="496"/>
        </w:trPr>
        <w:tc>
          <w:tcPr>
            <w:tcW w:w="2430" w:type="dxa"/>
            <w:tcBorders>
              <w:top w:val="nil"/>
              <w:left w:val="single" w:sz="4" w:space="0" w:color="FFFFFF"/>
              <w:bottom w:val="single" w:sz="4" w:space="0" w:color="6BBACF"/>
              <w:right w:val="single" w:sz="4" w:space="0" w:color="6BBACF"/>
            </w:tcBorders>
            <w:shd w:val="clear" w:color="000000" w:fill="CDE8EF"/>
            <w:noWrap/>
            <w:vAlign w:val="center"/>
            <w:hideMark/>
          </w:tcPr>
          <w:p w:rsidR="00CB345C" w:rsidRPr="008E4618" w:rsidRDefault="00CB345C" w:rsidP="000B0E55">
            <w:pPr>
              <w:spacing w:after="0" w:line="240" w:lineRule="auto"/>
              <w:jc w:val="center"/>
              <w:rPr>
                <w:rFonts w:ascii="Calibri" w:eastAsia="Times New Roman" w:hAnsi="Calibri" w:cs="Times New Roman"/>
                <w:color w:val="000000"/>
                <w:sz w:val="18"/>
                <w:szCs w:val="18"/>
              </w:rPr>
            </w:pPr>
            <w:r w:rsidRPr="008E4618">
              <w:rPr>
                <w:rFonts w:ascii="Calibri" w:eastAsia="Times New Roman" w:hAnsi="Calibri" w:cs="Times New Roman"/>
                <w:color w:val="000000"/>
                <w:sz w:val="18"/>
                <w:szCs w:val="18"/>
              </w:rPr>
              <w:t>FINAL SETTLEMENT</w:t>
            </w:r>
          </w:p>
        </w:tc>
        <w:tc>
          <w:tcPr>
            <w:tcW w:w="8460" w:type="dxa"/>
            <w:tcBorders>
              <w:top w:val="nil"/>
              <w:left w:val="nil"/>
              <w:bottom w:val="single" w:sz="4" w:space="0" w:color="6BBACF"/>
              <w:right w:val="single" w:sz="4" w:space="0" w:color="FFFFFF"/>
            </w:tcBorders>
            <w:shd w:val="clear" w:color="auto" w:fill="auto"/>
            <w:vAlign w:val="center"/>
          </w:tcPr>
          <w:p w:rsidR="00CB345C" w:rsidRPr="008E4618" w:rsidRDefault="00C84B7C" w:rsidP="000B0E55">
            <w:pPr>
              <w:spacing w:after="0" w:line="240" w:lineRule="auto"/>
              <w:rPr>
                <w:rFonts w:ascii="Calibri" w:eastAsia="Times New Roman" w:hAnsi="Calibri" w:cs="Times New Roman"/>
                <w:color w:val="000000"/>
                <w:sz w:val="18"/>
                <w:szCs w:val="18"/>
              </w:rPr>
            </w:pPr>
            <w:r w:rsidRPr="00C84B7C">
              <w:rPr>
                <w:rFonts w:ascii="Calibri" w:eastAsia="Times New Roman" w:hAnsi="Calibri" w:cs="Times New Roman"/>
                <w:color w:val="000000"/>
                <w:sz w:val="18"/>
                <w:szCs w:val="18"/>
              </w:rPr>
              <w:t>Final settlement for contracts held to expiration is by cash settlement in U.S. dollars.</w:t>
            </w:r>
          </w:p>
        </w:tc>
      </w:tr>
      <w:tr w:rsidR="00CB345C" w:rsidRPr="008E4618" w:rsidTr="00FF1A24">
        <w:trPr>
          <w:trHeight w:val="826"/>
        </w:trPr>
        <w:tc>
          <w:tcPr>
            <w:tcW w:w="2430" w:type="dxa"/>
            <w:tcBorders>
              <w:top w:val="nil"/>
              <w:left w:val="single" w:sz="4" w:space="0" w:color="FFFFFF"/>
              <w:bottom w:val="single" w:sz="4" w:space="0" w:color="6BBACF"/>
              <w:right w:val="single" w:sz="4" w:space="0" w:color="6BBACF"/>
            </w:tcBorders>
            <w:shd w:val="clear" w:color="000000" w:fill="A7D6E3"/>
            <w:noWrap/>
            <w:vAlign w:val="center"/>
            <w:hideMark/>
          </w:tcPr>
          <w:p w:rsidR="00CB345C" w:rsidRPr="008E4618" w:rsidRDefault="00CB345C" w:rsidP="000B0E55">
            <w:pPr>
              <w:spacing w:after="0" w:line="240" w:lineRule="auto"/>
              <w:jc w:val="center"/>
              <w:rPr>
                <w:rFonts w:ascii="Calibri" w:eastAsia="Times New Roman" w:hAnsi="Calibri" w:cs="Times New Roman"/>
                <w:color w:val="000000"/>
                <w:sz w:val="18"/>
                <w:szCs w:val="18"/>
              </w:rPr>
            </w:pPr>
            <w:r w:rsidRPr="008E4618">
              <w:rPr>
                <w:rFonts w:ascii="Calibri" w:eastAsia="Times New Roman" w:hAnsi="Calibri" w:cs="Times New Roman"/>
                <w:color w:val="000000"/>
                <w:sz w:val="18"/>
                <w:szCs w:val="18"/>
              </w:rPr>
              <w:t>FINAL SETTLEMENT DATE</w:t>
            </w:r>
          </w:p>
        </w:tc>
        <w:tc>
          <w:tcPr>
            <w:tcW w:w="8460" w:type="dxa"/>
            <w:tcBorders>
              <w:top w:val="nil"/>
              <w:left w:val="nil"/>
              <w:bottom w:val="single" w:sz="4" w:space="0" w:color="6BBACF"/>
              <w:right w:val="single" w:sz="4" w:space="0" w:color="FFFFFF"/>
            </w:tcBorders>
            <w:shd w:val="clear" w:color="000000" w:fill="E6E6E6"/>
            <w:vAlign w:val="center"/>
          </w:tcPr>
          <w:p w:rsidR="00CB345C" w:rsidRPr="008E4618" w:rsidRDefault="00C84B7C" w:rsidP="009127A2">
            <w:pPr>
              <w:spacing w:after="0" w:line="240" w:lineRule="auto"/>
              <w:rPr>
                <w:rFonts w:ascii="Calibri" w:eastAsia="Times New Roman" w:hAnsi="Calibri" w:cs="Times New Roman"/>
                <w:color w:val="000000"/>
                <w:sz w:val="18"/>
                <w:szCs w:val="18"/>
              </w:rPr>
            </w:pPr>
            <w:r w:rsidRPr="00C84B7C">
              <w:rPr>
                <w:rFonts w:ascii="Calibri" w:eastAsia="Times New Roman" w:hAnsi="Calibri" w:cs="Times New Roman"/>
                <w:color w:val="000000"/>
                <w:sz w:val="18"/>
                <w:szCs w:val="18"/>
              </w:rPr>
              <w:t xml:space="preserve">Final Settlement Date is the </w:t>
            </w:r>
            <w:r w:rsidR="009127A2">
              <w:rPr>
                <w:rFonts w:ascii="Calibri" w:eastAsia="Times New Roman" w:hAnsi="Calibri" w:cs="Times New Roman"/>
                <w:color w:val="000000"/>
                <w:sz w:val="18"/>
                <w:szCs w:val="18"/>
              </w:rPr>
              <w:t>next business</w:t>
            </w:r>
            <w:r w:rsidRPr="00C84B7C">
              <w:rPr>
                <w:rFonts w:ascii="Calibri" w:eastAsia="Times New Roman" w:hAnsi="Calibri" w:cs="Times New Roman"/>
                <w:color w:val="000000"/>
                <w:sz w:val="18"/>
                <w:szCs w:val="18"/>
              </w:rPr>
              <w:t xml:space="preserve"> day on which the Options Clearing Corporation is open for settlement following the Last Trading Day.</w:t>
            </w:r>
          </w:p>
        </w:tc>
      </w:tr>
      <w:tr w:rsidR="00CB345C" w:rsidRPr="008E4618" w:rsidTr="00FF1A24">
        <w:trPr>
          <w:trHeight w:val="742"/>
        </w:trPr>
        <w:tc>
          <w:tcPr>
            <w:tcW w:w="2430" w:type="dxa"/>
            <w:tcBorders>
              <w:top w:val="nil"/>
              <w:left w:val="single" w:sz="4" w:space="0" w:color="FFFFFF"/>
              <w:bottom w:val="single" w:sz="4" w:space="0" w:color="6BBACF"/>
              <w:right w:val="single" w:sz="4" w:space="0" w:color="6BBACF"/>
            </w:tcBorders>
            <w:shd w:val="clear" w:color="000000" w:fill="CDE8EF"/>
            <w:noWrap/>
            <w:vAlign w:val="center"/>
            <w:hideMark/>
          </w:tcPr>
          <w:p w:rsidR="00CB345C" w:rsidRPr="008E4618" w:rsidRDefault="00CB345C" w:rsidP="000B0E55">
            <w:pPr>
              <w:spacing w:after="0" w:line="240" w:lineRule="auto"/>
              <w:jc w:val="center"/>
              <w:rPr>
                <w:rFonts w:ascii="Calibri" w:eastAsia="Times New Roman" w:hAnsi="Calibri" w:cs="Times New Roman"/>
                <w:color w:val="000000"/>
                <w:sz w:val="18"/>
                <w:szCs w:val="18"/>
              </w:rPr>
            </w:pPr>
            <w:r w:rsidRPr="008E4618">
              <w:rPr>
                <w:rFonts w:ascii="Calibri" w:eastAsia="Times New Roman" w:hAnsi="Calibri" w:cs="Times New Roman"/>
                <w:color w:val="000000"/>
                <w:sz w:val="18"/>
                <w:szCs w:val="18"/>
              </w:rPr>
              <w:t>FINAL SETTLEMENT PRICE</w:t>
            </w:r>
          </w:p>
        </w:tc>
        <w:tc>
          <w:tcPr>
            <w:tcW w:w="8460" w:type="dxa"/>
            <w:tcBorders>
              <w:top w:val="nil"/>
              <w:left w:val="nil"/>
              <w:bottom w:val="single" w:sz="4" w:space="0" w:color="6BBACF"/>
              <w:right w:val="single" w:sz="4" w:space="0" w:color="FFFFFF"/>
            </w:tcBorders>
            <w:shd w:val="clear" w:color="auto" w:fill="auto"/>
            <w:vAlign w:val="center"/>
          </w:tcPr>
          <w:p w:rsidR="00CB345C" w:rsidRPr="008E4618" w:rsidRDefault="00AF41A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Closing </w:t>
            </w:r>
            <w:r w:rsidRPr="00AF41AA">
              <w:rPr>
                <w:rFonts w:ascii="Calibri" w:eastAsia="Times New Roman" w:hAnsi="Calibri" w:cs="Times New Roman"/>
                <w:color w:val="000000"/>
                <w:sz w:val="18"/>
                <w:szCs w:val="18"/>
              </w:rPr>
              <w:t>Quality Weighted Average Price (“</w:t>
            </w:r>
            <w:r>
              <w:rPr>
                <w:rFonts w:ascii="Calibri" w:eastAsia="Times New Roman" w:hAnsi="Calibri" w:cs="Times New Roman"/>
                <w:color w:val="000000"/>
                <w:sz w:val="18"/>
                <w:szCs w:val="18"/>
              </w:rPr>
              <w:t xml:space="preserve">Closing </w:t>
            </w:r>
            <w:r w:rsidRPr="00AF41AA">
              <w:rPr>
                <w:rFonts w:ascii="Calibri" w:eastAsia="Times New Roman" w:hAnsi="Calibri" w:cs="Times New Roman"/>
                <w:color w:val="000000"/>
                <w:sz w:val="18"/>
                <w:szCs w:val="18"/>
              </w:rPr>
              <w:t xml:space="preserve">QWAP”) shall be determined </w:t>
            </w:r>
            <w:r w:rsidRPr="002B47F3">
              <w:rPr>
                <w:rFonts w:ascii="Calibri" w:eastAsia="Times New Roman" w:hAnsi="Calibri" w:cs="Times New Roman"/>
                <w:color w:val="000000"/>
                <w:sz w:val="18"/>
                <w:szCs w:val="18"/>
              </w:rPr>
              <w:t xml:space="preserve">by reference to the </w:t>
            </w:r>
            <w:r w:rsidR="002B47F3" w:rsidRPr="002B47F3">
              <w:rPr>
                <w:rFonts w:ascii="Calibri" w:eastAsia="Times New Roman" w:hAnsi="Calibri" w:cs="Times New Roman"/>
                <w:color w:val="000000"/>
                <w:sz w:val="18"/>
                <w:szCs w:val="18"/>
              </w:rPr>
              <w:t>y</w:t>
            </w:r>
            <w:r w:rsidRPr="002B47F3">
              <w:rPr>
                <w:rFonts w:ascii="Calibri" w:eastAsia="Times New Roman" w:hAnsi="Calibri" w:cs="Times New Roman"/>
                <w:color w:val="000000"/>
                <w:sz w:val="18"/>
                <w:szCs w:val="18"/>
              </w:rPr>
              <w:t>ield of best bids, best offers, and executed transactions in the corresponding U.S. Treasury s</w:t>
            </w:r>
            <w:r>
              <w:rPr>
                <w:rFonts w:ascii="Calibri" w:eastAsia="Times New Roman" w:hAnsi="Calibri" w:cs="Times New Roman"/>
                <w:color w:val="000000"/>
                <w:sz w:val="18"/>
                <w:szCs w:val="18"/>
              </w:rPr>
              <w:t>ecurity</w:t>
            </w:r>
            <w:r w:rsidRPr="00AF41AA">
              <w:rPr>
                <w:rFonts w:ascii="Calibri" w:eastAsia="Times New Roman" w:hAnsi="Calibri" w:cs="Times New Roman"/>
                <w:color w:val="000000"/>
                <w:sz w:val="18"/>
                <w:szCs w:val="18"/>
              </w:rPr>
              <w:t xml:space="preserve"> on the Nasdaq F</w:t>
            </w:r>
            <w:r>
              <w:rPr>
                <w:rFonts w:ascii="Calibri" w:eastAsia="Times New Roman" w:hAnsi="Calibri" w:cs="Times New Roman"/>
                <w:color w:val="000000"/>
                <w:sz w:val="18"/>
                <w:szCs w:val="18"/>
              </w:rPr>
              <w:t xml:space="preserve">ixed Income </w:t>
            </w:r>
            <w:r w:rsidRPr="00AF41AA">
              <w:rPr>
                <w:rFonts w:ascii="Calibri" w:eastAsia="Times New Roman" w:hAnsi="Calibri" w:cs="Times New Roman"/>
                <w:color w:val="000000"/>
                <w:sz w:val="18"/>
                <w:szCs w:val="18"/>
              </w:rPr>
              <w:t>(NF</w:t>
            </w:r>
            <w:r>
              <w:rPr>
                <w:rFonts w:ascii="Calibri" w:eastAsia="Times New Roman" w:hAnsi="Calibri" w:cs="Times New Roman"/>
                <w:color w:val="000000"/>
                <w:sz w:val="18"/>
                <w:szCs w:val="18"/>
              </w:rPr>
              <w:t>I</w:t>
            </w:r>
            <w:r w:rsidRPr="00AF41AA">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Alternative Trading System </w:t>
            </w:r>
            <w:r w:rsidRPr="00AF41AA">
              <w:rPr>
                <w:rFonts w:ascii="Calibri" w:eastAsia="Times New Roman" w:hAnsi="Calibri" w:cs="Times New Roman"/>
                <w:color w:val="000000"/>
                <w:sz w:val="18"/>
                <w:szCs w:val="18"/>
              </w:rPr>
              <w:t>Order Book during the settlement period for the contract (the “</w:t>
            </w:r>
            <w:r>
              <w:rPr>
                <w:rFonts w:ascii="Calibri" w:eastAsia="Times New Roman" w:hAnsi="Calibri" w:cs="Times New Roman"/>
                <w:color w:val="000000"/>
                <w:sz w:val="18"/>
                <w:szCs w:val="18"/>
              </w:rPr>
              <w:t xml:space="preserve">Closing </w:t>
            </w:r>
            <w:r w:rsidRPr="00AF41AA">
              <w:rPr>
                <w:rFonts w:ascii="Calibri" w:eastAsia="Times New Roman" w:hAnsi="Calibri" w:cs="Times New Roman"/>
                <w:color w:val="000000"/>
                <w:sz w:val="18"/>
                <w:szCs w:val="18"/>
              </w:rPr>
              <w:t>Settlement Period”) as described in the Final Settlement section of each product rule.</w:t>
            </w:r>
            <w:r w:rsidR="002B47F3">
              <w:rPr>
                <w:rFonts w:ascii="Calibri" w:eastAsia="Times New Roman" w:hAnsi="Calibri" w:cs="Times New Roman"/>
                <w:color w:val="000000"/>
                <w:sz w:val="18"/>
                <w:szCs w:val="18"/>
              </w:rPr>
              <w:t xml:space="preserve">  The Final Settlement Price shall be calculated on </w:t>
            </w:r>
            <w:r w:rsidR="002B47F3" w:rsidRPr="005E5C32">
              <w:rPr>
                <w:rFonts w:ascii="Calibri" w:eastAsia="Times New Roman" w:hAnsi="Calibri" w:cs="Times New Roman"/>
                <w:color w:val="000000"/>
                <w:sz w:val="18"/>
                <w:szCs w:val="18"/>
              </w:rPr>
              <w:t>the Last Trading Day</w:t>
            </w:r>
            <w:r w:rsidR="002B47F3">
              <w:rPr>
                <w:rFonts w:ascii="Calibri" w:eastAsia="Times New Roman" w:hAnsi="Calibri" w:cs="Times New Roman"/>
                <w:color w:val="000000"/>
                <w:sz w:val="18"/>
                <w:szCs w:val="18"/>
              </w:rPr>
              <w:t>.</w:t>
            </w:r>
          </w:p>
        </w:tc>
      </w:tr>
      <w:tr w:rsidR="00CB345C" w:rsidRPr="008E4618" w:rsidTr="00FF1A24">
        <w:trPr>
          <w:trHeight w:val="496"/>
        </w:trPr>
        <w:tc>
          <w:tcPr>
            <w:tcW w:w="2430" w:type="dxa"/>
            <w:tcBorders>
              <w:top w:val="nil"/>
              <w:left w:val="single" w:sz="4" w:space="0" w:color="FFFFFF"/>
              <w:bottom w:val="single" w:sz="4" w:space="0" w:color="6BBACF"/>
              <w:right w:val="single" w:sz="4" w:space="0" w:color="6BBACF"/>
            </w:tcBorders>
            <w:shd w:val="clear" w:color="000000" w:fill="A7D6E3"/>
            <w:noWrap/>
            <w:vAlign w:val="center"/>
            <w:hideMark/>
          </w:tcPr>
          <w:p w:rsidR="00CB345C" w:rsidRPr="008E4618" w:rsidRDefault="00CB345C" w:rsidP="000B0E55">
            <w:pPr>
              <w:spacing w:after="0" w:line="240" w:lineRule="auto"/>
              <w:jc w:val="center"/>
              <w:rPr>
                <w:rFonts w:ascii="Calibri" w:eastAsia="Times New Roman" w:hAnsi="Calibri" w:cs="Times New Roman"/>
                <w:color w:val="000000"/>
                <w:sz w:val="18"/>
                <w:szCs w:val="18"/>
              </w:rPr>
            </w:pPr>
            <w:r w:rsidRPr="008E4618">
              <w:rPr>
                <w:rFonts w:ascii="Calibri" w:eastAsia="Times New Roman" w:hAnsi="Calibri" w:cs="Times New Roman"/>
                <w:color w:val="000000"/>
                <w:sz w:val="18"/>
                <w:szCs w:val="18"/>
              </w:rPr>
              <w:t>CLEARINGHOUSE</w:t>
            </w:r>
          </w:p>
        </w:tc>
        <w:tc>
          <w:tcPr>
            <w:tcW w:w="8460" w:type="dxa"/>
            <w:tcBorders>
              <w:top w:val="nil"/>
              <w:left w:val="nil"/>
              <w:bottom w:val="single" w:sz="4" w:space="0" w:color="6BBACF"/>
              <w:right w:val="single" w:sz="4" w:space="0" w:color="FFFFFF"/>
            </w:tcBorders>
            <w:shd w:val="clear" w:color="000000" w:fill="E6E6E6"/>
            <w:vAlign w:val="center"/>
          </w:tcPr>
          <w:p w:rsidR="005E5C32" w:rsidRPr="008E4618" w:rsidRDefault="00C84B7C" w:rsidP="000B0E55">
            <w:pPr>
              <w:spacing w:after="0" w:line="240" w:lineRule="auto"/>
              <w:rPr>
                <w:rFonts w:ascii="Calibri" w:eastAsia="Times New Roman" w:hAnsi="Calibri" w:cs="Times New Roman"/>
                <w:color w:val="000000"/>
                <w:sz w:val="18"/>
                <w:szCs w:val="18"/>
              </w:rPr>
            </w:pPr>
            <w:r w:rsidRPr="00C84B7C">
              <w:rPr>
                <w:rFonts w:ascii="Calibri" w:eastAsia="Times New Roman" w:hAnsi="Calibri" w:cs="Times New Roman"/>
                <w:color w:val="000000"/>
                <w:sz w:val="18"/>
                <w:szCs w:val="18"/>
              </w:rPr>
              <w:t>The Options Clearing Corporation</w:t>
            </w:r>
          </w:p>
        </w:tc>
      </w:tr>
    </w:tbl>
    <w:p w:rsidR="00362264" w:rsidRDefault="00362264" w:rsidP="00023BC3">
      <w:pPr>
        <w:spacing w:after="0" w:line="240" w:lineRule="auto"/>
      </w:pPr>
      <w:r>
        <w:rPr>
          <w:noProof/>
        </w:rPr>
        <mc:AlternateContent>
          <mc:Choice Requires="wps">
            <w:drawing>
              <wp:anchor distT="0" distB="0" distL="114300" distR="114300" simplePos="0" relativeHeight="251661312" behindDoc="1" locked="0" layoutInCell="1" allowOverlap="1" wp14:anchorId="01EE373E" wp14:editId="2AC9F27B">
                <wp:simplePos x="0" y="0"/>
                <wp:positionH relativeFrom="column">
                  <wp:posOffset>-414867</wp:posOffset>
                </wp:positionH>
                <wp:positionV relativeFrom="paragraph">
                  <wp:posOffset>51223</wp:posOffset>
                </wp:positionV>
                <wp:extent cx="6918960" cy="888789"/>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6918960" cy="88878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B345C" w:rsidRPr="0069530F" w:rsidRDefault="00CB345C" w:rsidP="002B47F3">
                            <w:pPr>
                              <w:pStyle w:val="Heading2"/>
                              <w:ind w:left="0"/>
                              <w:rPr>
                                <w:rStyle w:val="SubtleReference"/>
                                <w:color w:val="008CA5"/>
                                <w:sz w:val="20"/>
                              </w:rPr>
                            </w:pPr>
                            <w:r w:rsidRPr="00681CD4">
                              <w:rPr>
                                <w:rStyle w:val="SubtleReference"/>
                                <w:sz w:val="24"/>
                                <w:szCs w:val="24"/>
                              </w:rPr>
                              <w:t>MORE INFORMATION</w:t>
                            </w:r>
                            <w:r w:rsidR="002B47F3">
                              <w:rPr>
                                <w:rStyle w:val="SubtleReference"/>
                                <w:sz w:val="24"/>
                                <w:szCs w:val="24"/>
                              </w:rPr>
                              <w:t xml:space="preserve"> </w:t>
                            </w:r>
                            <w:r w:rsidR="002B47F3">
                              <w:rPr>
                                <w:rStyle w:val="SubtleReference"/>
                                <w:sz w:val="24"/>
                                <w:szCs w:val="24"/>
                              </w:rPr>
                              <w:tab/>
                            </w:r>
                            <w:r w:rsidR="00C764C1" w:rsidRPr="0069530F">
                              <w:rPr>
                                <w:rStyle w:val="SubtleReference"/>
                                <w:color w:val="008CA5"/>
                                <w:sz w:val="20"/>
                              </w:rPr>
                              <w:t xml:space="preserve">BUSINESS.NASDAQ.COM/FUTURES </w:t>
                            </w:r>
                            <w:r w:rsidRPr="0069530F">
                              <w:rPr>
                                <w:rStyle w:val="SubtleReference"/>
                                <w:sz w:val="20"/>
                              </w:rPr>
                              <w:t>/</w:t>
                            </w:r>
                            <w:r w:rsidR="00C764C1" w:rsidRPr="0069530F">
                              <w:rPr>
                                <w:rStyle w:val="SubtleReference"/>
                                <w:sz w:val="20"/>
                              </w:rPr>
                              <w:t xml:space="preserve"> </w:t>
                            </w:r>
                            <w:r w:rsidRPr="0069530F">
                              <w:rPr>
                                <w:rStyle w:val="SubtleReference"/>
                                <w:color w:val="7F7F7F" w:themeColor="text1" w:themeTint="80"/>
                                <w:sz w:val="20"/>
                              </w:rPr>
                              <w:t>FUTURES@NASDAQ.COM</w:t>
                            </w:r>
                          </w:p>
                          <w:p w:rsidR="00CB345C" w:rsidRPr="00681CD4" w:rsidRDefault="00CB345C" w:rsidP="0069530F">
                            <w:pPr>
                              <w:pStyle w:val="TableRight"/>
                              <w:rPr>
                                <w:rStyle w:val="SubtleReference"/>
                                <w:color w:val="008CA5"/>
                              </w:rPr>
                            </w:pPr>
                          </w:p>
                          <w:p w:rsidR="00CB345C" w:rsidRPr="00681CD4" w:rsidRDefault="00C764C1" w:rsidP="0069530F">
                            <w:pPr>
                              <w:pStyle w:val="COPYRIGHT"/>
                              <w:rPr>
                                <w:rStyle w:val="SubtleReference"/>
                                <w:color w:val="7F7F7F" w:themeColor="text1" w:themeTint="80"/>
                              </w:rPr>
                            </w:pPr>
                            <w:r>
                              <w:t>© COPYRIGHT 201</w:t>
                            </w:r>
                            <w:r w:rsidR="009127A2">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E373E" id="_x0000_t202" coordsize="21600,21600" o:spt="202" path="m,l,21600r21600,l21600,xe">
                <v:stroke joinstyle="miter"/>
                <v:path gradientshapeok="t" o:connecttype="rect"/>
              </v:shapetype>
              <v:shape id="Text Box 6" o:spid="_x0000_s1026" type="#_x0000_t202" style="position:absolute;margin-left:-32.65pt;margin-top:4.05pt;width:544.8pt;height:7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" filled="f" stroked="f">
                <v:textbox>
                  <w:txbxContent>
                    <w:p w:rsidR="00CB345C" w:rsidRPr="0069530F" w:rsidRDefault="00CB345C" w:rsidP="002B47F3">
                      <w:pPr>
                        <w:pStyle w:val="Heading2"/>
                        <w:ind w:left="0"/>
                        <w:rPr>
                          <w:rStyle w:val="SubtleReference"/>
                          <w:color w:val="008CA5"/>
                          <w:sz w:val="20"/>
                        </w:rPr>
                      </w:pPr>
                      <w:r w:rsidRPr="00681CD4">
                        <w:rPr>
                          <w:rStyle w:val="SubtleReference"/>
                          <w:sz w:val="24"/>
                          <w:szCs w:val="24"/>
                        </w:rPr>
                        <w:t>MORE INFORMATION</w:t>
                      </w:r>
                      <w:r w:rsidR="002B47F3">
                        <w:rPr>
                          <w:rStyle w:val="SubtleReference"/>
                          <w:sz w:val="24"/>
                          <w:szCs w:val="24"/>
                        </w:rPr>
                        <w:t xml:space="preserve"> </w:t>
                      </w:r>
                      <w:r w:rsidR="002B47F3">
                        <w:rPr>
                          <w:rStyle w:val="SubtleReference"/>
                          <w:sz w:val="24"/>
                          <w:szCs w:val="24"/>
                        </w:rPr>
                        <w:tab/>
                      </w:r>
                      <w:r w:rsidR="00C764C1" w:rsidRPr="0069530F">
                        <w:rPr>
                          <w:rStyle w:val="SubtleReference"/>
                          <w:color w:val="008CA5"/>
                          <w:sz w:val="20"/>
                        </w:rPr>
                        <w:t xml:space="preserve">BUSINESS.NASDAQ.COM/FUTURES </w:t>
                      </w:r>
                      <w:r w:rsidRPr="0069530F">
                        <w:rPr>
                          <w:rStyle w:val="SubtleReference"/>
                          <w:sz w:val="20"/>
                        </w:rPr>
                        <w:t>/</w:t>
                      </w:r>
                      <w:r w:rsidR="00C764C1" w:rsidRPr="0069530F">
                        <w:rPr>
                          <w:rStyle w:val="SubtleReference"/>
                          <w:sz w:val="20"/>
                        </w:rPr>
                        <w:t xml:space="preserve"> </w:t>
                      </w:r>
                      <w:r w:rsidRPr="0069530F">
                        <w:rPr>
                          <w:rStyle w:val="SubtleReference"/>
                          <w:color w:val="7F7F7F" w:themeColor="text1" w:themeTint="80"/>
                          <w:sz w:val="20"/>
                        </w:rPr>
                        <w:t>FUTURES@NASDAQ.COM</w:t>
                      </w:r>
                    </w:p>
                    <w:p w:rsidR="00CB345C" w:rsidRPr="00681CD4" w:rsidRDefault="00CB345C" w:rsidP="0069530F">
                      <w:pPr>
                        <w:pStyle w:val="TableRight"/>
                        <w:rPr>
                          <w:rStyle w:val="SubtleReference"/>
                          <w:color w:val="008CA5"/>
                        </w:rPr>
                      </w:pPr>
                    </w:p>
                    <w:p w:rsidR="00CB345C" w:rsidRPr="00681CD4" w:rsidRDefault="00C764C1" w:rsidP="0069530F">
                      <w:pPr>
                        <w:pStyle w:val="COPYRIGHT"/>
                        <w:rPr>
                          <w:rStyle w:val="SubtleReference"/>
                          <w:color w:val="7F7F7F" w:themeColor="text1" w:themeTint="80"/>
                        </w:rPr>
                      </w:pPr>
                      <w:r>
                        <w:t>© COPYRIGHT 201</w:t>
                      </w:r>
                      <w:r w:rsidR="009127A2">
                        <w:t>8</w:t>
                      </w:r>
                    </w:p>
                  </w:txbxContent>
                </v:textbox>
              </v:shape>
            </w:pict>
          </mc:Fallback>
        </mc:AlternateContent>
      </w:r>
    </w:p>
    <w:p w:rsidR="00316CFF" w:rsidRDefault="00316CFF" w:rsidP="00023BC3">
      <w:pPr>
        <w:spacing w:after="0" w:line="240" w:lineRule="auto"/>
      </w:pPr>
    </w:p>
    <w:p w:rsidR="00316CFF" w:rsidRDefault="00316CFF" w:rsidP="00023BC3">
      <w:pPr>
        <w:spacing w:after="0" w:line="240" w:lineRule="auto"/>
      </w:pPr>
    </w:p>
    <w:p w:rsidR="008934CC" w:rsidRDefault="008934CC" w:rsidP="00053401"/>
    <w:sectPr w:rsidR="008934CC" w:rsidSect="003C0862">
      <w:headerReference w:type="default" r:id="rId7"/>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D9D" w:rsidRDefault="00416D9D" w:rsidP="0054403B">
      <w:pPr>
        <w:spacing w:after="0" w:line="240" w:lineRule="auto"/>
      </w:pPr>
      <w:r>
        <w:separator/>
      </w:r>
    </w:p>
  </w:endnote>
  <w:endnote w:type="continuationSeparator" w:id="0">
    <w:p w:rsidR="00416D9D" w:rsidRDefault="00416D9D" w:rsidP="00544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D9D" w:rsidRDefault="00416D9D" w:rsidP="0054403B">
      <w:pPr>
        <w:spacing w:after="0" w:line="240" w:lineRule="auto"/>
      </w:pPr>
      <w:r>
        <w:separator/>
      </w:r>
    </w:p>
  </w:footnote>
  <w:footnote w:type="continuationSeparator" w:id="0">
    <w:p w:rsidR="00416D9D" w:rsidRDefault="00416D9D" w:rsidP="00544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349" w:rsidRPr="008F5349" w:rsidRDefault="008F5349">
    <w:pPr>
      <w:pStyle w:val="Header"/>
      <w:rPr>
        <w:b/>
        <w:u w:val="single"/>
      </w:rPr>
    </w:pPr>
    <w:r>
      <w:tab/>
    </w:r>
    <w:r>
      <w:tab/>
    </w:r>
    <w:r w:rsidRPr="008F5349">
      <w:rPr>
        <w:b/>
        <w:u w:val="single"/>
      </w:rPr>
      <w:t>Exhibit 4 to SR-NFX-2018-18</w:t>
    </w:r>
  </w:p>
  <w:p w:rsidR="0054403B" w:rsidRDefault="005440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5C"/>
    <w:rsid w:val="000047B6"/>
    <w:rsid w:val="000076E1"/>
    <w:rsid w:val="00023BC3"/>
    <w:rsid w:val="00053401"/>
    <w:rsid w:val="00087C5C"/>
    <w:rsid w:val="00094199"/>
    <w:rsid w:val="00094530"/>
    <w:rsid w:val="000C41D7"/>
    <w:rsid w:val="000C5999"/>
    <w:rsid w:val="00181B9C"/>
    <w:rsid w:val="001A3BD3"/>
    <w:rsid w:val="001D636D"/>
    <w:rsid w:val="00215808"/>
    <w:rsid w:val="00217C57"/>
    <w:rsid w:val="00240E8E"/>
    <w:rsid w:val="002602AC"/>
    <w:rsid w:val="00285862"/>
    <w:rsid w:val="0029263E"/>
    <w:rsid w:val="002B47F3"/>
    <w:rsid w:val="002C0710"/>
    <w:rsid w:val="002C2F25"/>
    <w:rsid w:val="002D5781"/>
    <w:rsid w:val="002F42B6"/>
    <w:rsid w:val="002F6EE7"/>
    <w:rsid w:val="00302086"/>
    <w:rsid w:val="0030289B"/>
    <w:rsid w:val="00303DA3"/>
    <w:rsid w:val="00307D9E"/>
    <w:rsid w:val="00316CFF"/>
    <w:rsid w:val="00322699"/>
    <w:rsid w:val="00324F40"/>
    <w:rsid w:val="00362264"/>
    <w:rsid w:val="00395F11"/>
    <w:rsid w:val="003B6D0D"/>
    <w:rsid w:val="003C0862"/>
    <w:rsid w:val="00416D9D"/>
    <w:rsid w:val="00424925"/>
    <w:rsid w:val="00496C04"/>
    <w:rsid w:val="004A4034"/>
    <w:rsid w:val="005224DC"/>
    <w:rsid w:val="0054403B"/>
    <w:rsid w:val="00544850"/>
    <w:rsid w:val="005A1A40"/>
    <w:rsid w:val="005E4986"/>
    <w:rsid w:val="005E5C32"/>
    <w:rsid w:val="00603547"/>
    <w:rsid w:val="00637062"/>
    <w:rsid w:val="0069530F"/>
    <w:rsid w:val="006B7F91"/>
    <w:rsid w:val="006D390A"/>
    <w:rsid w:val="00712E3E"/>
    <w:rsid w:val="00716387"/>
    <w:rsid w:val="00741FA6"/>
    <w:rsid w:val="00757113"/>
    <w:rsid w:val="007600AC"/>
    <w:rsid w:val="00784AE4"/>
    <w:rsid w:val="007D13B4"/>
    <w:rsid w:val="007E0C93"/>
    <w:rsid w:val="007E79EF"/>
    <w:rsid w:val="00823FCB"/>
    <w:rsid w:val="00871C86"/>
    <w:rsid w:val="00891105"/>
    <w:rsid w:val="00891F05"/>
    <w:rsid w:val="008934CC"/>
    <w:rsid w:val="008F5349"/>
    <w:rsid w:val="009127A2"/>
    <w:rsid w:val="00957331"/>
    <w:rsid w:val="00985BC5"/>
    <w:rsid w:val="00985E09"/>
    <w:rsid w:val="009D70B6"/>
    <w:rsid w:val="00A0296E"/>
    <w:rsid w:val="00A94DA1"/>
    <w:rsid w:val="00A95432"/>
    <w:rsid w:val="00AA5969"/>
    <w:rsid w:val="00AB6D2B"/>
    <w:rsid w:val="00AC4F43"/>
    <w:rsid w:val="00AD6ACD"/>
    <w:rsid w:val="00AE1C69"/>
    <w:rsid w:val="00AF41AA"/>
    <w:rsid w:val="00B1458F"/>
    <w:rsid w:val="00B14E38"/>
    <w:rsid w:val="00B35B15"/>
    <w:rsid w:val="00B67FC1"/>
    <w:rsid w:val="00BE4300"/>
    <w:rsid w:val="00BF55A1"/>
    <w:rsid w:val="00C43539"/>
    <w:rsid w:val="00C72C05"/>
    <w:rsid w:val="00C764C1"/>
    <w:rsid w:val="00C84B7C"/>
    <w:rsid w:val="00C96B41"/>
    <w:rsid w:val="00CA4FB8"/>
    <w:rsid w:val="00CB345C"/>
    <w:rsid w:val="00D3772B"/>
    <w:rsid w:val="00D8033C"/>
    <w:rsid w:val="00DA2AE7"/>
    <w:rsid w:val="00DD2A80"/>
    <w:rsid w:val="00DF047F"/>
    <w:rsid w:val="00E40BD5"/>
    <w:rsid w:val="00E668E7"/>
    <w:rsid w:val="00E8054A"/>
    <w:rsid w:val="00EA2F64"/>
    <w:rsid w:val="00F10925"/>
    <w:rsid w:val="00F2530C"/>
    <w:rsid w:val="00F6240D"/>
    <w:rsid w:val="00F77FE0"/>
    <w:rsid w:val="00FB36F4"/>
    <w:rsid w:val="00FB6936"/>
    <w:rsid w:val="00FF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EF56A203-10E9-4760-920A-6160F6EE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45C"/>
  </w:style>
  <w:style w:type="paragraph" w:styleId="Heading2">
    <w:name w:val="heading 2"/>
    <w:aliases w:val="Subhead 1"/>
    <w:basedOn w:val="NASDAQHeader"/>
    <w:next w:val="Normal"/>
    <w:link w:val="Heading2Char"/>
    <w:qFormat/>
    <w:rsid w:val="00CB345C"/>
    <w:pPr>
      <w:spacing w:before="160"/>
      <w:outlineLvl w:val="1"/>
    </w:pPr>
    <w:rPr>
      <w:color w:val="7F7F7F" w:themeColor="text1" w:themeTint="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head 1 Char"/>
    <w:basedOn w:val="DefaultParagraphFont"/>
    <w:link w:val="Heading2"/>
    <w:rsid w:val="00CB345C"/>
    <w:rPr>
      <w:rFonts w:asciiTheme="majorHAnsi" w:eastAsia="Times New Roman" w:hAnsiTheme="majorHAnsi" w:cs="Arial"/>
      <w:b/>
      <w:color w:val="7F7F7F" w:themeColor="text1" w:themeTint="80"/>
      <w:sz w:val="32"/>
      <w:szCs w:val="32"/>
      <w:lang w:eastAsia="ja-JP"/>
    </w:rPr>
  </w:style>
  <w:style w:type="paragraph" w:customStyle="1" w:styleId="NASDAQHeader">
    <w:name w:val="NASDAQ Header"/>
    <w:basedOn w:val="NormalWeb"/>
    <w:autoRedefine/>
    <w:qFormat/>
    <w:rsid w:val="00823FCB"/>
    <w:pPr>
      <w:spacing w:after="0" w:line="216" w:lineRule="auto"/>
      <w:ind w:left="-720"/>
    </w:pPr>
    <w:rPr>
      <w:rFonts w:asciiTheme="minorHAnsi" w:eastAsia="Times New Roman" w:hAnsiTheme="minorHAnsi" w:cs="Arial"/>
      <w:b/>
      <w:sz w:val="56"/>
      <w:szCs w:val="64"/>
      <w:lang w:eastAsia="ja-JP"/>
    </w:rPr>
  </w:style>
  <w:style w:type="paragraph" w:customStyle="1" w:styleId="TableRight">
    <w:name w:val="Table_Right"/>
    <w:basedOn w:val="Normal"/>
    <w:link w:val="TableRightChar"/>
    <w:autoRedefine/>
    <w:qFormat/>
    <w:rsid w:val="0069530F"/>
    <w:pPr>
      <w:spacing w:after="0" w:line="240" w:lineRule="auto"/>
    </w:pPr>
    <w:rPr>
      <w:rFonts w:asciiTheme="majorHAnsi" w:eastAsiaTheme="minorEastAsia" w:hAnsiTheme="majorHAnsi" w:cs="Times New Roman"/>
      <w:color w:val="008CA5"/>
      <w:sz w:val="20"/>
      <w:szCs w:val="18"/>
      <w:lang w:eastAsia="ja-JP"/>
    </w:rPr>
  </w:style>
  <w:style w:type="character" w:customStyle="1" w:styleId="TableRightChar">
    <w:name w:val="Table_Right Char"/>
    <w:basedOn w:val="DefaultParagraphFont"/>
    <w:link w:val="TableRight"/>
    <w:rsid w:val="0069530F"/>
    <w:rPr>
      <w:rFonts w:asciiTheme="majorHAnsi" w:eastAsiaTheme="minorEastAsia" w:hAnsiTheme="majorHAnsi" w:cs="Times New Roman"/>
      <w:color w:val="008CA5"/>
      <w:sz w:val="20"/>
      <w:szCs w:val="18"/>
      <w:lang w:eastAsia="ja-JP"/>
    </w:rPr>
  </w:style>
  <w:style w:type="character" w:styleId="SubtleReference">
    <w:name w:val="Subtle Reference"/>
    <w:aliases w:val="More Info"/>
    <w:uiPriority w:val="31"/>
    <w:qFormat/>
    <w:rsid w:val="00CB345C"/>
    <w:rPr>
      <w:color w:val="000000" w:themeColor="text1"/>
      <w:sz w:val="14"/>
      <w:szCs w:val="14"/>
    </w:rPr>
  </w:style>
  <w:style w:type="paragraph" w:customStyle="1" w:styleId="COPYRIGHT">
    <w:name w:val="COPYRIGHT"/>
    <w:basedOn w:val="TableRight"/>
    <w:link w:val="COPYRIGHTChar"/>
    <w:qFormat/>
    <w:rsid w:val="00CB345C"/>
    <w:rPr>
      <w:sz w:val="14"/>
      <w:szCs w:val="14"/>
    </w:rPr>
  </w:style>
  <w:style w:type="character" w:customStyle="1" w:styleId="COPYRIGHTChar">
    <w:name w:val="COPYRIGHT Char"/>
    <w:basedOn w:val="TableRightChar"/>
    <w:link w:val="COPYRIGHT"/>
    <w:rsid w:val="00CB345C"/>
    <w:rPr>
      <w:rFonts w:asciiTheme="majorHAnsi" w:eastAsiaTheme="minorEastAsia" w:hAnsiTheme="majorHAnsi" w:cs="Times New Roman"/>
      <w:color w:val="008CA5"/>
      <w:sz w:val="14"/>
      <w:szCs w:val="14"/>
      <w:lang w:eastAsia="ja-JP"/>
    </w:rPr>
  </w:style>
  <w:style w:type="paragraph" w:styleId="NormalWeb">
    <w:name w:val="Normal (Web)"/>
    <w:basedOn w:val="Normal"/>
    <w:uiPriority w:val="99"/>
    <w:semiHidden/>
    <w:unhideWhenUsed/>
    <w:rsid w:val="00CB345C"/>
    <w:rPr>
      <w:rFonts w:ascii="Times New Roman" w:hAnsi="Times New Roman" w:cs="Times New Roman"/>
      <w:sz w:val="24"/>
      <w:szCs w:val="24"/>
    </w:rPr>
  </w:style>
  <w:style w:type="paragraph" w:styleId="Header">
    <w:name w:val="header"/>
    <w:aliases w:val="Misys Headers"/>
    <w:basedOn w:val="Normal"/>
    <w:link w:val="HeaderChar"/>
    <w:uiPriority w:val="99"/>
    <w:unhideWhenUsed/>
    <w:rsid w:val="0054403B"/>
    <w:pPr>
      <w:tabs>
        <w:tab w:val="center" w:pos="4680"/>
        <w:tab w:val="right" w:pos="9360"/>
      </w:tabs>
      <w:spacing w:after="0" w:line="240" w:lineRule="auto"/>
    </w:pPr>
  </w:style>
  <w:style w:type="character" w:customStyle="1" w:styleId="HeaderChar">
    <w:name w:val="Header Char"/>
    <w:aliases w:val="Misys Headers Char"/>
    <w:basedOn w:val="DefaultParagraphFont"/>
    <w:link w:val="Header"/>
    <w:uiPriority w:val="99"/>
    <w:rsid w:val="0054403B"/>
  </w:style>
  <w:style w:type="paragraph" w:styleId="Footer">
    <w:name w:val="footer"/>
    <w:basedOn w:val="Normal"/>
    <w:link w:val="FooterChar"/>
    <w:uiPriority w:val="99"/>
    <w:unhideWhenUsed/>
    <w:rsid w:val="00544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03B"/>
  </w:style>
  <w:style w:type="paragraph" w:styleId="BalloonText">
    <w:name w:val="Balloon Text"/>
    <w:basedOn w:val="Normal"/>
    <w:link w:val="BalloonTextChar"/>
    <w:uiPriority w:val="99"/>
    <w:semiHidden/>
    <w:unhideWhenUsed/>
    <w:rsid w:val="00C76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4C1"/>
    <w:rPr>
      <w:rFonts w:ascii="Tahoma" w:hAnsi="Tahoma" w:cs="Tahoma"/>
      <w:sz w:val="16"/>
      <w:szCs w:val="16"/>
    </w:rPr>
  </w:style>
  <w:style w:type="table" w:styleId="TableGrid">
    <w:name w:val="Table Grid"/>
    <w:basedOn w:val="TableNormal"/>
    <w:uiPriority w:val="39"/>
    <w:rsid w:val="00893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d91edeef-2726-4882-b508-8f43ab3fd447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2018-07-02T18:36:34+00:00</Document_x0020_Date>
    <Document_x0020_No xmlns="4b47aac5-4c46-444f-8595-ce09b406fc61">40316</Document_x0020_No>
  </documentManagement>
</p:properties>
</file>

<file path=customXml/itemProps1.xml><?xml version="1.0" encoding="utf-8"?>
<ds:datastoreItem xmlns:ds="http://schemas.openxmlformats.org/officeDocument/2006/customXml" ds:itemID="{2BE672BC-0324-4963-AC31-9B1AEFA0B4D1}"/>
</file>

<file path=customXml/itemProps2.xml><?xml version="1.0" encoding="utf-8"?>
<ds:datastoreItem xmlns:ds="http://schemas.openxmlformats.org/officeDocument/2006/customXml" ds:itemID="{A97C92C9-5794-4C2F-AB0D-7DA14A6BA5B6}"/>
</file>

<file path=customXml/itemProps3.xml><?xml version="1.0" encoding="utf-8"?>
<ds:datastoreItem xmlns:ds="http://schemas.openxmlformats.org/officeDocument/2006/customXml" ds:itemID="{94E5ED18-5A7D-4476-971E-8E2A2A139CE4}"/>
</file>

<file path=customXml/itemProps4.xml><?xml version="1.0" encoding="utf-8"?>
<ds:datastoreItem xmlns:ds="http://schemas.openxmlformats.org/officeDocument/2006/customXml" ds:itemID="{0B7B89E1-4487-4EC9-9046-35A63181416B}"/>
</file>

<file path=docProps/app.xml><?xml version="1.0" encoding="utf-8"?>
<Properties xmlns="http://schemas.openxmlformats.org/officeDocument/2006/extended-properties" xmlns:vt="http://schemas.openxmlformats.org/officeDocument/2006/docPropsVTypes">
  <Template>Normal</Template>
  <TotalTime>2</TotalTime>
  <Pages>1</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4</dc:title>
  <dc:creator>Daniel Carrigan</dc:creator>
  <cp:lastModifiedBy>Carla Behnfeldt</cp:lastModifiedBy>
  <cp:revision>4</cp:revision>
  <cp:lastPrinted>2018-03-23T13:41:00Z</cp:lastPrinted>
  <dcterms:created xsi:type="dcterms:W3CDTF">2018-07-02T15:39:00Z</dcterms:created>
  <dcterms:modified xsi:type="dcterms:W3CDTF">2018-07-02T15:45:00Z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5637900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