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32" w:rsidRDefault="00C03B32" w:rsidP="00C03B32">
      <w:r>
        <w:rPr>
          <w:noProof/>
        </w:rPr>
        <w:drawing>
          <wp:inline distT="0" distB="0" distL="0" distR="0">
            <wp:extent cx="2095500" cy="769620"/>
            <wp:effectExtent l="0" t="0" r="0" b="0"/>
            <wp:docPr id="4" name="Picture 4" descr="Return to the NASDAQ O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he NASDAQ OM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769620"/>
                    </a:xfrm>
                    <a:prstGeom prst="rect">
                      <a:avLst/>
                    </a:prstGeom>
                    <a:noFill/>
                    <a:ln>
                      <a:noFill/>
                    </a:ln>
                  </pic:spPr>
                </pic:pic>
              </a:graphicData>
            </a:graphic>
          </wp:inline>
        </w:drawing>
      </w:r>
      <w:r>
        <w:br/>
        <w:t xml:space="preserve">View </w:t>
      </w:r>
      <w:hyperlink r:id="rId7" w:history="1">
        <w:r>
          <w:rPr>
            <w:rStyle w:val="Hyperlink"/>
          </w:rPr>
          <w:t>Online Version</w:t>
        </w:r>
      </w:hyperlink>
    </w:p>
    <w:p w:rsidR="00C03B32" w:rsidRDefault="00AA22F7" w:rsidP="00C03B32">
      <w:pPr>
        <w:spacing w:before="100" w:beforeAutospacing="1" w:after="150"/>
        <w:rPr>
          <w:rFonts w:ascii="Arial" w:hAnsi="Arial" w:cs="Arial"/>
          <w:color w:val="376092"/>
          <w:sz w:val="18"/>
          <w:szCs w:val="18"/>
        </w:rPr>
      </w:pPr>
      <w:r>
        <w:rPr>
          <w:rFonts w:ascii="Arial" w:hAnsi="Arial" w:cs="Arial"/>
          <w:b/>
          <w:bCs/>
          <w:color w:val="1F497D"/>
          <w:sz w:val="18"/>
          <w:szCs w:val="18"/>
        </w:rPr>
        <w:t>Monday, July 2</w:t>
      </w:r>
      <w:r w:rsidR="00C03B32">
        <w:rPr>
          <w:rFonts w:ascii="Arial" w:hAnsi="Arial" w:cs="Arial"/>
          <w:b/>
          <w:bCs/>
          <w:color w:val="376092"/>
          <w:sz w:val="18"/>
          <w:szCs w:val="18"/>
        </w:rPr>
        <w:t>, 2018</w:t>
      </w:r>
      <w:bookmarkStart w:id="0" w:name="_GoBack"/>
      <w:bookmarkEnd w:id="0"/>
    </w:p>
    <w:p w:rsidR="00C03B32" w:rsidRDefault="00C03B32" w:rsidP="00C03B32">
      <w:pPr>
        <w:rPr>
          <w:rFonts w:ascii="Arial" w:hAnsi="Arial" w:cs="Arial"/>
          <w:color w:val="1F497D"/>
        </w:rPr>
      </w:pPr>
      <w:r>
        <w:rPr>
          <w:rFonts w:ascii="Arial" w:hAnsi="Arial" w:cs="Arial"/>
          <w:b/>
          <w:bCs/>
          <w:color w:val="1F4E79"/>
        </w:rPr>
        <w:t>Futures Trader Alert #2018 - 1</w:t>
      </w:r>
      <w:r w:rsidR="00E36BE7">
        <w:rPr>
          <w:rFonts w:ascii="Arial" w:hAnsi="Arial" w:cs="Arial"/>
          <w:b/>
          <w:bCs/>
          <w:color w:val="1F4E79"/>
        </w:rPr>
        <w:t>2</w:t>
      </w:r>
      <w:r>
        <w:rPr>
          <w:rFonts w:ascii="Arial" w:hAnsi="Arial" w:cs="Arial"/>
          <w:color w:val="1F497D"/>
        </w:rPr>
        <w:br/>
      </w:r>
      <w:r w:rsidR="00E36BE7" w:rsidRPr="00E36BE7">
        <w:rPr>
          <w:rFonts w:ascii="Arial" w:hAnsi="Arial" w:cs="Arial"/>
          <w:color w:val="1F497D"/>
        </w:rPr>
        <w:t xml:space="preserve">Initial Listing &amp; Margin Notice for </w:t>
      </w:r>
      <w:r w:rsidR="0020389B" w:rsidRPr="0020389B">
        <w:rPr>
          <w:rFonts w:ascii="Arial" w:hAnsi="Arial" w:cs="Arial"/>
          <w:color w:val="1F497D"/>
        </w:rPr>
        <w:t>U.S. DV01 Treasury Futures</w:t>
      </w:r>
      <w:r w:rsidR="0020389B">
        <w:rPr>
          <w:rFonts w:ascii="Arial" w:hAnsi="Arial" w:cs="Arial"/>
          <w:color w:val="1F497D"/>
        </w:rPr>
        <w:t xml:space="preserve"> Contract f</w:t>
      </w:r>
      <w:r w:rsidR="00E36BE7" w:rsidRPr="00E36BE7">
        <w:rPr>
          <w:rFonts w:ascii="Arial" w:hAnsi="Arial" w:cs="Arial"/>
          <w:color w:val="1F497D"/>
        </w:rPr>
        <w:t xml:space="preserve">or Trade Date </w:t>
      </w:r>
      <w:r w:rsidR="0020389B">
        <w:rPr>
          <w:rFonts w:ascii="Arial" w:hAnsi="Arial" w:cs="Arial"/>
          <w:color w:val="1F497D"/>
        </w:rPr>
        <w:t xml:space="preserve">July </w:t>
      </w:r>
      <w:r w:rsidR="00E36BE7" w:rsidRPr="00E36BE7">
        <w:rPr>
          <w:rFonts w:ascii="Arial" w:hAnsi="Arial" w:cs="Arial"/>
          <w:color w:val="1F497D"/>
        </w:rPr>
        <w:t>1</w:t>
      </w:r>
      <w:r w:rsidR="0020389B">
        <w:rPr>
          <w:rFonts w:ascii="Arial" w:hAnsi="Arial" w:cs="Arial"/>
          <w:color w:val="1F497D"/>
        </w:rPr>
        <w:t>9</w:t>
      </w:r>
      <w:r w:rsidR="00E36BE7" w:rsidRPr="00E36BE7">
        <w:rPr>
          <w:rFonts w:ascii="Arial" w:hAnsi="Arial" w:cs="Arial"/>
          <w:color w:val="1F497D"/>
        </w:rPr>
        <w:t>, 2018</w:t>
      </w:r>
      <w:r w:rsidR="003E0046">
        <w:rPr>
          <w:rFonts w:ascii="Arial" w:hAnsi="Arial" w:cs="Arial"/>
          <w:color w:val="1F497D"/>
        </w:rPr>
        <w:t xml:space="preserve"> + OCC Sample SPAN File Available</w:t>
      </w:r>
    </w:p>
    <w:tbl>
      <w:tblPr>
        <w:tblW w:w="5000" w:type="pct"/>
        <w:tblCellSpacing w:w="18" w:type="dxa"/>
        <w:tblCellMar>
          <w:left w:w="0" w:type="dxa"/>
          <w:right w:w="0" w:type="dxa"/>
        </w:tblCellMar>
        <w:tblLook w:val="04A0" w:firstRow="1" w:lastRow="0" w:firstColumn="1" w:lastColumn="0" w:noHBand="0" w:noVBand="1"/>
      </w:tblPr>
      <w:tblGrid>
        <w:gridCol w:w="1772"/>
        <w:gridCol w:w="7578"/>
      </w:tblGrid>
      <w:tr w:rsidR="00C03B32" w:rsidTr="00C03B32">
        <w:trPr>
          <w:tblCellSpacing w:w="18" w:type="dxa"/>
        </w:trPr>
        <w:tc>
          <w:tcPr>
            <w:tcW w:w="3000" w:type="dxa"/>
            <w:tcBorders>
              <w:top w:val="single" w:sz="8" w:space="0" w:color="CEDFF0"/>
              <w:left w:val="single" w:sz="8" w:space="0" w:color="CEDFF0"/>
              <w:bottom w:val="single" w:sz="8" w:space="0" w:color="CEDFF0"/>
              <w:right w:val="single" w:sz="8" w:space="0" w:color="CEDFF0"/>
            </w:tcBorders>
            <w:shd w:val="clear" w:color="auto" w:fill="EBF2F8"/>
            <w:tcMar>
              <w:top w:w="120" w:type="dxa"/>
              <w:left w:w="120" w:type="dxa"/>
              <w:bottom w:w="120" w:type="dxa"/>
              <w:right w:w="120" w:type="dxa"/>
            </w:tcMar>
            <w:hideMark/>
          </w:tcPr>
          <w:p w:rsidR="00C03B32" w:rsidRDefault="00C03B32">
            <w:pPr>
              <w:spacing w:line="240" w:lineRule="atLeast"/>
              <w:rPr>
                <w:rFonts w:ascii="Arial" w:hAnsi="Arial" w:cs="Arial"/>
                <w:b/>
                <w:bCs/>
                <w:color w:val="00669E"/>
                <w:sz w:val="21"/>
                <w:szCs w:val="21"/>
              </w:rPr>
            </w:pPr>
            <w:r>
              <w:rPr>
                <w:rFonts w:ascii="Arial" w:hAnsi="Arial" w:cs="Arial"/>
                <w:b/>
                <w:bCs/>
                <w:color w:val="00669E"/>
                <w:sz w:val="21"/>
                <w:szCs w:val="21"/>
              </w:rPr>
              <w:t>Category:</w:t>
            </w:r>
          </w:p>
          <w:p w:rsidR="00C03B32" w:rsidRDefault="00C03B32">
            <w:pPr>
              <w:spacing w:before="100" w:beforeAutospacing="1" w:after="100" w:afterAutospacing="1"/>
              <w:ind w:left="525" w:hanging="360"/>
              <w:rPr>
                <w:rFonts w:ascii="Arial" w:hAnsi="Arial" w:cs="Arial"/>
                <w:sz w:val="18"/>
                <w:szCs w:val="18"/>
              </w:rPr>
            </w:pPr>
            <w:r>
              <w:rPr>
                <w:rFonts w:ascii="Symbol" w:hAnsi="Symbol"/>
                <w:sz w:val="20"/>
                <w:szCs w:val="20"/>
              </w:rPr>
              <w:t></w:t>
            </w:r>
            <w:r>
              <w:rPr>
                <w:sz w:val="14"/>
                <w:szCs w:val="14"/>
              </w:rPr>
              <w:t xml:space="preserve">         </w:t>
            </w:r>
            <w:r>
              <w:rPr>
                <w:rFonts w:ascii="Arial" w:hAnsi="Arial" w:cs="Arial"/>
                <w:sz w:val="18"/>
                <w:szCs w:val="18"/>
              </w:rPr>
              <w:t>System Impact</w:t>
            </w:r>
          </w:p>
          <w:p w:rsidR="00C03B32" w:rsidRDefault="00C03B32">
            <w:pPr>
              <w:spacing w:line="240" w:lineRule="atLeast"/>
              <w:rPr>
                <w:rFonts w:ascii="Arial" w:hAnsi="Arial" w:cs="Arial"/>
                <w:b/>
                <w:bCs/>
                <w:color w:val="00669E"/>
                <w:sz w:val="21"/>
                <w:szCs w:val="21"/>
              </w:rPr>
            </w:pPr>
            <w:r>
              <w:rPr>
                <w:rFonts w:ascii="Arial" w:hAnsi="Arial" w:cs="Arial"/>
                <w:b/>
                <w:bCs/>
                <w:color w:val="00669E"/>
                <w:sz w:val="21"/>
                <w:szCs w:val="21"/>
              </w:rPr>
              <w:t>Markets Impacted:</w:t>
            </w:r>
          </w:p>
          <w:p w:rsidR="00C03B32" w:rsidRDefault="00C03B32">
            <w:pPr>
              <w:spacing w:before="100" w:beforeAutospacing="1" w:after="100" w:afterAutospacing="1"/>
              <w:ind w:left="525" w:hanging="360"/>
              <w:rPr>
                <w:rFonts w:ascii="Arial" w:hAnsi="Arial" w:cs="Arial"/>
                <w:sz w:val="18"/>
                <w:szCs w:val="18"/>
              </w:rPr>
            </w:pPr>
            <w:r>
              <w:rPr>
                <w:rFonts w:ascii="Symbol" w:hAnsi="Symbol"/>
                <w:sz w:val="20"/>
                <w:szCs w:val="20"/>
              </w:rPr>
              <w:t></w:t>
            </w:r>
            <w:r>
              <w:rPr>
                <w:sz w:val="14"/>
                <w:szCs w:val="14"/>
              </w:rPr>
              <w:t xml:space="preserve">         </w:t>
            </w:r>
            <w:hyperlink r:id="rId8" w:history="1">
              <w:r>
                <w:rPr>
                  <w:rStyle w:val="Hyperlink"/>
                  <w:rFonts w:ascii="Arial" w:hAnsi="Arial" w:cs="Arial"/>
                  <w:sz w:val="18"/>
                  <w:szCs w:val="18"/>
                </w:rPr>
                <w:t>Nasdaq Futures, Inc.</w:t>
              </w:r>
              <w:r>
                <w:rPr>
                  <w:rFonts w:ascii="Arial" w:hAnsi="Arial" w:cs="Arial"/>
                  <w:color w:val="0000FF"/>
                  <w:sz w:val="18"/>
                  <w:szCs w:val="18"/>
                  <w:u w:val="single"/>
                </w:rPr>
                <w:br/>
              </w:r>
            </w:hyperlink>
          </w:p>
          <w:p w:rsidR="00C03B32" w:rsidRDefault="00C03B32">
            <w:pPr>
              <w:spacing w:line="240" w:lineRule="atLeast"/>
              <w:rPr>
                <w:rFonts w:ascii="Arial" w:hAnsi="Arial" w:cs="Arial"/>
                <w:b/>
                <w:bCs/>
                <w:color w:val="00669E"/>
                <w:sz w:val="21"/>
                <w:szCs w:val="21"/>
              </w:rPr>
            </w:pPr>
            <w:r>
              <w:rPr>
                <w:rFonts w:ascii="Arial" w:hAnsi="Arial" w:cs="Arial"/>
                <w:b/>
                <w:bCs/>
                <w:color w:val="00669E"/>
                <w:sz w:val="21"/>
                <w:szCs w:val="21"/>
              </w:rPr>
              <w:t>Contact Information:</w:t>
            </w:r>
          </w:p>
          <w:p w:rsidR="00C03B32" w:rsidRDefault="00C03B32">
            <w:pPr>
              <w:spacing w:before="100" w:beforeAutospacing="1" w:after="100" w:afterAutospacing="1"/>
              <w:ind w:left="525" w:hanging="360"/>
              <w:rPr>
                <w:rFonts w:ascii="Arial" w:hAnsi="Arial" w:cs="Arial"/>
                <w:sz w:val="18"/>
                <w:szCs w:val="18"/>
              </w:rPr>
            </w:pPr>
            <w:r>
              <w:rPr>
                <w:rFonts w:ascii="Symbol" w:hAnsi="Symbol"/>
                <w:sz w:val="20"/>
                <w:szCs w:val="20"/>
              </w:rPr>
              <w:t></w:t>
            </w:r>
            <w:r>
              <w:rPr>
                <w:sz w:val="14"/>
                <w:szCs w:val="14"/>
              </w:rPr>
              <w:t xml:space="preserve">         </w:t>
            </w:r>
            <w:hyperlink r:id="rId9" w:history="1">
              <w:r>
                <w:rPr>
                  <w:rStyle w:val="Hyperlink"/>
                  <w:rFonts w:ascii="Arial" w:hAnsi="Arial" w:cs="Arial"/>
                  <w:sz w:val="18"/>
                  <w:szCs w:val="18"/>
                </w:rPr>
                <w:t>U.S. Market Operations - Futures &amp; Options</w:t>
              </w:r>
            </w:hyperlink>
            <w:r>
              <w:rPr>
                <w:rFonts w:ascii="Arial" w:hAnsi="Arial" w:cs="Arial"/>
                <w:sz w:val="18"/>
                <w:szCs w:val="18"/>
              </w:rPr>
              <w:t xml:space="preserve"> at +1 215 496 5409</w:t>
            </w:r>
            <w:hyperlink r:id="rId10" w:history="1">
              <w:r>
                <w:rPr>
                  <w:rFonts w:ascii="Arial" w:hAnsi="Arial" w:cs="Arial"/>
                  <w:color w:val="0000FF"/>
                  <w:sz w:val="18"/>
                  <w:szCs w:val="18"/>
                  <w:u w:val="single"/>
                </w:rPr>
                <w:br/>
              </w:r>
            </w:hyperlink>
          </w:p>
          <w:p w:rsidR="00C03B32" w:rsidRDefault="00C03B32">
            <w:pPr>
              <w:spacing w:before="100" w:beforeAutospacing="1" w:after="100" w:afterAutospacing="1"/>
              <w:ind w:left="525" w:hanging="360"/>
              <w:rPr>
                <w:rFonts w:ascii="Arial" w:hAnsi="Arial" w:cs="Arial"/>
                <w:sz w:val="18"/>
                <w:szCs w:val="18"/>
              </w:rPr>
            </w:pPr>
            <w:r>
              <w:rPr>
                <w:rFonts w:ascii="Symbol" w:hAnsi="Symbol"/>
                <w:sz w:val="20"/>
                <w:szCs w:val="20"/>
              </w:rPr>
              <w:t></w:t>
            </w:r>
            <w:r>
              <w:rPr>
                <w:sz w:val="14"/>
                <w:szCs w:val="14"/>
              </w:rPr>
              <w:t xml:space="preserve">         </w:t>
            </w:r>
            <w:hyperlink r:id="rId11" w:history="1">
              <w:r>
                <w:rPr>
                  <w:rStyle w:val="Hyperlink"/>
                  <w:rFonts w:ascii="Arial" w:hAnsi="Arial" w:cs="Arial"/>
                  <w:sz w:val="18"/>
                  <w:szCs w:val="18"/>
                </w:rPr>
                <w:t>U.S. Market Sales</w:t>
              </w:r>
            </w:hyperlink>
            <w:r>
              <w:rPr>
                <w:rFonts w:ascii="Arial" w:hAnsi="Arial" w:cs="Arial"/>
                <w:sz w:val="18"/>
                <w:szCs w:val="18"/>
              </w:rPr>
              <w:t xml:space="preserve"> at +1 844 236 3191</w:t>
            </w:r>
          </w:p>
          <w:p w:rsidR="00C03B32" w:rsidRDefault="00C03B32">
            <w:pPr>
              <w:spacing w:before="100" w:beforeAutospacing="1" w:after="100" w:afterAutospacing="1"/>
              <w:ind w:left="525" w:hanging="360"/>
              <w:rPr>
                <w:rFonts w:ascii="Arial" w:hAnsi="Arial" w:cs="Arial"/>
                <w:sz w:val="18"/>
                <w:szCs w:val="18"/>
              </w:rPr>
            </w:pPr>
            <w:r>
              <w:rPr>
                <w:rFonts w:ascii="Symbol" w:hAnsi="Symbol"/>
                <w:sz w:val="20"/>
                <w:szCs w:val="20"/>
              </w:rPr>
              <w:t></w:t>
            </w:r>
            <w:r>
              <w:rPr>
                <w:sz w:val="14"/>
                <w:szCs w:val="14"/>
              </w:rPr>
              <w:t xml:space="preserve">         </w:t>
            </w:r>
            <w:hyperlink r:id="rId12" w:history="1">
              <w:r>
                <w:rPr>
                  <w:rStyle w:val="Hyperlink"/>
                  <w:rFonts w:ascii="Arial" w:hAnsi="Arial" w:cs="Arial"/>
                  <w:sz w:val="18"/>
                  <w:szCs w:val="18"/>
                </w:rPr>
                <w:t>Futures Sales</w:t>
              </w:r>
            </w:hyperlink>
          </w:p>
          <w:p w:rsidR="00C03B32" w:rsidRDefault="00C03B32">
            <w:pPr>
              <w:spacing w:before="100" w:beforeAutospacing="1" w:after="100" w:afterAutospacing="1"/>
              <w:ind w:left="525" w:hanging="360"/>
              <w:rPr>
                <w:rFonts w:ascii="Arial" w:hAnsi="Arial" w:cs="Arial"/>
                <w:sz w:val="18"/>
                <w:szCs w:val="18"/>
              </w:rPr>
            </w:pPr>
            <w:r>
              <w:rPr>
                <w:rFonts w:ascii="Symbol" w:hAnsi="Symbol"/>
                <w:sz w:val="20"/>
                <w:szCs w:val="20"/>
              </w:rPr>
              <w:t></w:t>
            </w:r>
            <w:r>
              <w:rPr>
                <w:sz w:val="14"/>
                <w:szCs w:val="14"/>
              </w:rPr>
              <w:t xml:space="preserve">         </w:t>
            </w:r>
            <w:hyperlink r:id="rId13" w:history="1">
              <w:r>
                <w:rPr>
                  <w:rStyle w:val="Hyperlink"/>
                  <w:rFonts w:ascii="Arial" w:hAnsi="Arial" w:cs="Arial"/>
                  <w:sz w:val="18"/>
                  <w:szCs w:val="18"/>
                </w:rPr>
                <w:t>Futures Regulation</w:t>
              </w:r>
            </w:hyperlink>
          </w:p>
          <w:p w:rsidR="00C03B32" w:rsidRDefault="00C03B32">
            <w:pPr>
              <w:spacing w:before="100" w:beforeAutospacing="1" w:after="100" w:afterAutospacing="1"/>
              <w:ind w:left="525" w:hanging="360"/>
              <w:rPr>
                <w:rFonts w:ascii="Arial" w:hAnsi="Arial" w:cs="Arial"/>
                <w:sz w:val="18"/>
                <w:szCs w:val="18"/>
              </w:rPr>
            </w:pPr>
            <w:r>
              <w:rPr>
                <w:rFonts w:ascii="Symbol" w:hAnsi="Symbol"/>
                <w:sz w:val="20"/>
                <w:szCs w:val="20"/>
              </w:rPr>
              <w:t></w:t>
            </w:r>
            <w:r>
              <w:rPr>
                <w:sz w:val="14"/>
                <w:szCs w:val="14"/>
              </w:rPr>
              <w:t xml:space="preserve">         </w:t>
            </w:r>
            <w:hyperlink r:id="rId14" w:history="1">
              <w:r>
                <w:rPr>
                  <w:rStyle w:val="Hyperlink"/>
                  <w:rFonts w:ascii="Arial" w:hAnsi="Arial" w:cs="Arial"/>
                  <w:sz w:val="18"/>
                  <w:szCs w:val="18"/>
                </w:rPr>
                <w:t>NFX Market Operations</w:t>
              </w:r>
            </w:hyperlink>
          </w:p>
        </w:tc>
        <w:tc>
          <w:tcPr>
            <w:tcW w:w="0" w:type="auto"/>
            <w:tcMar>
              <w:top w:w="120" w:type="dxa"/>
              <w:left w:w="120" w:type="dxa"/>
              <w:bottom w:w="120" w:type="dxa"/>
              <w:right w:w="120" w:type="dxa"/>
            </w:tcMar>
          </w:tcPr>
          <w:p w:rsidR="00C03B32" w:rsidRDefault="00C03B32">
            <w:pPr>
              <w:jc w:val="right"/>
              <w:rPr>
                <w:color w:val="000000"/>
              </w:rPr>
            </w:pPr>
          </w:p>
          <w:p w:rsidR="00C03B32" w:rsidRPr="00212C09" w:rsidRDefault="0020389B">
            <w:pPr>
              <w:rPr>
                <w:rFonts w:ascii="Arial" w:hAnsi="Arial" w:cs="Arial"/>
                <w:sz w:val="20"/>
                <w:szCs w:val="20"/>
              </w:rPr>
            </w:pPr>
            <w:r w:rsidRPr="00212C09">
              <w:rPr>
                <w:rFonts w:ascii="Arial" w:hAnsi="Arial" w:cs="Arial"/>
                <w:sz w:val="20"/>
                <w:szCs w:val="20"/>
              </w:rPr>
              <w:t>Pending all regulatory approvals, effective with the Open Session on July 18, 2018 for Trade Date July 19, 2018, the Exchange will list the following Futures Contract:</w:t>
            </w:r>
          </w:p>
          <w:p w:rsidR="00C03B32" w:rsidRPr="00212C09" w:rsidRDefault="00C03B32">
            <w:pPr>
              <w:rPr>
                <w:rFonts w:ascii="Arial" w:hAnsi="Arial" w:cs="Arial"/>
                <w:sz w:val="20"/>
                <w:szCs w:val="20"/>
              </w:rPr>
            </w:pPr>
          </w:p>
          <w:tbl>
            <w:tblPr>
              <w:tblW w:w="7274" w:type="dxa"/>
              <w:tblCellSpacing w:w="0" w:type="dxa"/>
              <w:tblBorders>
                <w:top w:val="single" w:sz="4" w:space="0" w:color="auto"/>
                <w:left w:val="single" w:sz="4" w:space="0" w:color="auto"/>
                <w:bottom w:val="single" w:sz="4" w:space="0" w:color="auto"/>
                <w:right w:val="single" w:sz="4" w:space="0" w:color="auto"/>
                <w:insideH w:val="single" w:sz="8" w:space="0" w:color="auto"/>
              </w:tblBorders>
              <w:shd w:val="clear" w:color="auto" w:fill="FFFFFF"/>
              <w:tblCellMar>
                <w:left w:w="0" w:type="dxa"/>
                <w:right w:w="0" w:type="dxa"/>
              </w:tblCellMar>
              <w:tblLook w:val="04A0" w:firstRow="1" w:lastRow="0" w:firstColumn="1" w:lastColumn="0" w:noHBand="0" w:noVBand="1"/>
            </w:tblPr>
            <w:tblGrid>
              <w:gridCol w:w="1437"/>
              <w:gridCol w:w="3861"/>
              <w:gridCol w:w="1039"/>
              <w:gridCol w:w="937"/>
            </w:tblGrid>
            <w:tr w:rsidR="00212C09" w:rsidRPr="00212C09" w:rsidTr="00474537">
              <w:trPr>
                <w:trHeight w:val="1291"/>
                <w:tblCellSpacing w:w="0" w:type="dxa"/>
              </w:trPr>
              <w:tc>
                <w:tcPr>
                  <w:tcW w:w="1494" w:type="dxa"/>
                  <w:shd w:val="clear" w:color="auto" w:fill="FFFFFF"/>
                  <w:tcMar>
                    <w:top w:w="0" w:type="dxa"/>
                    <w:left w:w="108" w:type="dxa"/>
                    <w:bottom w:w="0" w:type="dxa"/>
                    <w:right w:w="108" w:type="dxa"/>
                  </w:tcMar>
                  <w:hideMark/>
                </w:tcPr>
                <w:p w:rsidR="0020389B" w:rsidRPr="00212C09" w:rsidRDefault="0020389B" w:rsidP="0020389B">
                  <w:pPr>
                    <w:jc w:val="center"/>
                    <w:rPr>
                      <w:rFonts w:ascii="Arial" w:hAnsi="Arial" w:cs="Arial"/>
                      <w:sz w:val="20"/>
                      <w:szCs w:val="20"/>
                    </w:rPr>
                  </w:pPr>
                  <w:r w:rsidRPr="00212C09">
                    <w:rPr>
                      <w:rStyle w:val="Strong"/>
                      <w:rFonts w:ascii="Arial" w:hAnsi="Arial" w:cs="Arial"/>
                      <w:sz w:val="20"/>
                      <w:szCs w:val="20"/>
                      <w:bdr w:val="none" w:sz="0" w:space="0" w:color="auto" w:frame="1"/>
                    </w:rPr>
                    <w:t>Rulebook Appendix A Chapter</w:t>
                  </w:r>
                </w:p>
              </w:tc>
              <w:tc>
                <w:tcPr>
                  <w:tcW w:w="3861" w:type="dxa"/>
                  <w:shd w:val="clear" w:color="auto" w:fill="FFFFFF"/>
                  <w:noWrap/>
                  <w:tcMar>
                    <w:top w:w="0" w:type="dxa"/>
                    <w:left w:w="108" w:type="dxa"/>
                    <w:bottom w:w="0" w:type="dxa"/>
                    <w:right w:w="108" w:type="dxa"/>
                  </w:tcMar>
                  <w:hideMark/>
                </w:tcPr>
                <w:p w:rsidR="0020389B" w:rsidRPr="00212C09" w:rsidRDefault="0020389B" w:rsidP="0020389B">
                  <w:pPr>
                    <w:jc w:val="center"/>
                    <w:rPr>
                      <w:rFonts w:ascii="Arial" w:hAnsi="Arial" w:cs="Arial"/>
                      <w:sz w:val="20"/>
                      <w:szCs w:val="20"/>
                    </w:rPr>
                  </w:pPr>
                  <w:r w:rsidRPr="00212C09">
                    <w:rPr>
                      <w:rStyle w:val="Strong"/>
                      <w:rFonts w:ascii="Arial" w:hAnsi="Arial" w:cs="Arial"/>
                      <w:sz w:val="20"/>
                      <w:szCs w:val="20"/>
                      <w:bdr w:val="none" w:sz="0" w:space="0" w:color="auto" w:frame="1"/>
                    </w:rPr>
                    <w:t>Name of Energy Futures Contract and Trading Symbol</w:t>
                  </w:r>
                </w:p>
              </w:tc>
              <w:tc>
                <w:tcPr>
                  <w:tcW w:w="1009" w:type="dxa"/>
                  <w:shd w:val="clear" w:color="auto" w:fill="FFFFFF"/>
                  <w:tcMar>
                    <w:top w:w="0" w:type="dxa"/>
                    <w:left w:w="108" w:type="dxa"/>
                    <w:bottom w:w="0" w:type="dxa"/>
                    <w:right w:w="108" w:type="dxa"/>
                  </w:tcMar>
                  <w:hideMark/>
                </w:tcPr>
                <w:p w:rsidR="0020389B" w:rsidRPr="00212C09" w:rsidRDefault="0020389B" w:rsidP="0020389B">
                  <w:pPr>
                    <w:jc w:val="center"/>
                    <w:rPr>
                      <w:rFonts w:ascii="Arial" w:hAnsi="Arial" w:cs="Arial"/>
                      <w:sz w:val="20"/>
                      <w:szCs w:val="20"/>
                    </w:rPr>
                  </w:pPr>
                  <w:r w:rsidRPr="00212C09">
                    <w:rPr>
                      <w:rStyle w:val="Strong"/>
                      <w:rFonts w:ascii="Arial" w:hAnsi="Arial" w:cs="Arial"/>
                      <w:sz w:val="20"/>
                      <w:szCs w:val="20"/>
                      <w:bdr w:val="none" w:sz="0" w:space="0" w:color="auto" w:frame="1"/>
                    </w:rPr>
                    <w:t>Number of Contract Months Listed</w:t>
                  </w:r>
                </w:p>
              </w:tc>
              <w:tc>
                <w:tcPr>
                  <w:tcW w:w="910" w:type="dxa"/>
                  <w:shd w:val="clear" w:color="auto" w:fill="FFFFFF"/>
                  <w:tcMar>
                    <w:top w:w="0" w:type="dxa"/>
                    <w:left w:w="108" w:type="dxa"/>
                    <w:bottom w:w="0" w:type="dxa"/>
                    <w:right w:w="108" w:type="dxa"/>
                  </w:tcMar>
                  <w:hideMark/>
                </w:tcPr>
                <w:p w:rsidR="0020389B" w:rsidRPr="00212C09" w:rsidRDefault="0020389B" w:rsidP="0020389B">
                  <w:pPr>
                    <w:jc w:val="center"/>
                    <w:rPr>
                      <w:rFonts w:ascii="Arial" w:hAnsi="Arial" w:cs="Arial"/>
                      <w:sz w:val="20"/>
                      <w:szCs w:val="20"/>
                    </w:rPr>
                  </w:pPr>
                  <w:r w:rsidRPr="00212C09">
                    <w:rPr>
                      <w:rStyle w:val="Strong"/>
                      <w:rFonts w:ascii="Arial" w:hAnsi="Arial" w:cs="Arial"/>
                      <w:sz w:val="20"/>
                      <w:szCs w:val="20"/>
                      <w:bdr w:val="none" w:sz="0" w:space="0" w:color="auto" w:frame="1"/>
                    </w:rPr>
                    <w:t>First and Last Months</w:t>
                  </w:r>
                </w:p>
              </w:tc>
            </w:tr>
            <w:tr w:rsidR="00212C09" w:rsidRPr="00212C09" w:rsidTr="00474537">
              <w:trPr>
                <w:trHeight w:val="845"/>
                <w:tblCellSpacing w:w="0" w:type="dxa"/>
              </w:trPr>
              <w:tc>
                <w:tcPr>
                  <w:tcW w:w="1494" w:type="dxa"/>
                  <w:shd w:val="clear" w:color="auto" w:fill="FFFFFF"/>
                  <w:tcMar>
                    <w:top w:w="0" w:type="dxa"/>
                    <w:left w:w="108" w:type="dxa"/>
                    <w:bottom w:w="0" w:type="dxa"/>
                    <w:right w:w="108" w:type="dxa"/>
                  </w:tcMar>
                  <w:hideMark/>
                </w:tcPr>
                <w:p w:rsidR="0020389B" w:rsidRPr="00212C09" w:rsidRDefault="00F574E2" w:rsidP="00F574E2">
                  <w:pPr>
                    <w:jc w:val="center"/>
                    <w:rPr>
                      <w:rFonts w:ascii="Arial" w:hAnsi="Arial" w:cs="Arial"/>
                      <w:sz w:val="20"/>
                      <w:szCs w:val="20"/>
                    </w:rPr>
                  </w:pPr>
                  <w:r w:rsidRPr="00212C09">
                    <w:rPr>
                      <w:rFonts w:ascii="Arial" w:hAnsi="Arial" w:cs="Arial"/>
                      <w:sz w:val="20"/>
                      <w:szCs w:val="20"/>
                      <w:bdr w:val="none" w:sz="0" w:space="0" w:color="auto" w:frame="1"/>
                    </w:rPr>
                    <w:t>2010</w:t>
                  </w:r>
                </w:p>
              </w:tc>
              <w:tc>
                <w:tcPr>
                  <w:tcW w:w="3861" w:type="dxa"/>
                  <w:shd w:val="clear" w:color="auto" w:fill="FFFFFF"/>
                  <w:tcMar>
                    <w:top w:w="0" w:type="dxa"/>
                    <w:left w:w="108" w:type="dxa"/>
                    <w:bottom w:w="0" w:type="dxa"/>
                    <w:right w:w="108" w:type="dxa"/>
                  </w:tcMar>
                  <w:hideMark/>
                </w:tcPr>
                <w:p w:rsidR="0020389B" w:rsidRPr="00212C09" w:rsidRDefault="0020389B" w:rsidP="0020389B">
                  <w:pPr>
                    <w:rPr>
                      <w:rFonts w:ascii="Arial" w:hAnsi="Arial" w:cs="Arial"/>
                      <w:sz w:val="20"/>
                      <w:szCs w:val="20"/>
                    </w:rPr>
                  </w:pPr>
                  <w:r w:rsidRPr="00212C09">
                    <w:rPr>
                      <w:rFonts w:ascii="Arial" w:hAnsi="Arial" w:cs="Arial"/>
                      <w:sz w:val="20"/>
                      <w:szCs w:val="20"/>
                      <w:bdr w:val="none" w:sz="0" w:space="0" w:color="auto" w:frame="1"/>
                    </w:rPr>
                    <w:t>U.S. 10-YR DV01 Treasury Futures  (</w:t>
                  </w:r>
                  <w:r w:rsidR="00D836E8">
                    <w:rPr>
                      <w:rFonts w:ascii="Arial" w:hAnsi="Arial" w:cs="Arial"/>
                      <w:sz w:val="20"/>
                      <w:szCs w:val="20"/>
                      <w:bdr w:val="none" w:sz="0" w:space="0" w:color="auto" w:frame="1"/>
                    </w:rPr>
                    <w:t xml:space="preserve">Base symbol </w:t>
                  </w:r>
                  <w:r w:rsidRPr="00212C09">
                    <w:rPr>
                      <w:rFonts w:ascii="Arial" w:hAnsi="Arial" w:cs="Arial"/>
                      <w:sz w:val="20"/>
                      <w:szCs w:val="20"/>
                      <w:bdr w:val="none" w:sz="0" w:space="0" w:color="auto" w:frame="1"/>
                    </w:rPr>
                    <w:t>TYDX)</w:t>
                  </w:r>
                </w:p>
              </w:tc>
              <w:tc>
                <w:tcPr>
                  <w:tcW w:w="1009" w:type="dxa"/>
                  <w:shd w:val="clear" w:color="auto" w:fill="FFFFFF"/>
                  <w:noWrap/>
                  <w:tcMar>
                    <w:top w:w="0" w:type="dxa"/>
                    <w:left w:w="108" w:type="dxa"/>
                    <w:bottom w:w="0" w:type="dxa"/>
                    <w:right w:w="108" w:type="dxa"/>
                  </w:tcMar>
                  <w:hideMark/>
                </w:tcPr>
                <w:p w:rsidR="0020389B" w:rsidRPr="00212C09" w:rsidRDefault="0020389B" w:rsidP="0020389B">
                  <w:pPr>
                    <w:jc w:val="center"/>
                    <w:rPr>
                      <w:rFonts w:ascii="Arial" w:hAnsi="Arial" w:cs="Arial"/>
                      <w:sz w:val="20"/>
                      <w:szCs w:val="20"/>
                    </w:rPr>
                  </w:pPr>
                  <w:r w:rsidRPr="00212C09">
                    <w:rPr>
                      <w:rFonts w:ascii="Arial" w:hAnsi="Arial" w:cs="Arial"/>
                      <w:sz w:val="20"/>
                      <w:szCs w:val="20"/>
                      <w:bdr w:val="none" w:sz="0" w:space="0" w:color="auto" w:frame="1"/>
                    </w:rPr>
                    <w:t>1</w:t>
                  </w:r>
                </w:p>
              </w:tc>
              <w:tc>
                <w:tcPr>
                  <w:tcW w:w="910" w:type="dxa"/>
                  <w:shd w:val="clear" w:color="auto" w:fill="FFFFFF"/>
                  <w:tcMar>
                    <w:top w:w="0" w:type="dxa"/>
                    <w:left w:w="108" w:type="dxa"/>
                    <w:bottom w:w="0" w:type="dxa"/>
                    <w:right w:w="108" w:type="dxa"/>
                  </w:tcMar>
                  <w:hideMark/>
                </w:tcPr>
                <w:p w:rsidR="0020389B" w:rsidRPr="00212C09" w:rsidRDefault="0020389B" w:rsidP="0020389B">
                  <w:pPr>
                    <w:jc w:val="center"/>
                    <w:rPr>
                      <w:rFonts w:ascii="Arial" w:hAnsi="Arial" w:cs="Arial"/>
                      <w:sz w:val="20"/>
                      <w:szCs w:val="20"/>
                    </w:rPr>
                  </w:pPr>
                  <w:r w:rsidRPr="00212C09">
                    <w:rPr>
                      <w:rFonts w:ascii="Arial" w:hAnsi="Arial" w:cs="Arial"/>
                      <w:sz w:val="20"/>
                      <w:szCs w:val="20"/>
                      <w:bdr w:val="none" w:sz="0" w:space="0" w:color="auto" w:frame="1"/>
                    </w:rPr>
                    <w:t>Nov. 2018</w:t>
                  </w:r>
                </w:p>
              </w:tc>
            </w:tr>
          </w:tbl>
          <w:p w:rsidR="00C03B32" w:rsidRPr="00212C09" w:rsidRDefault="0020389B">
            <w:pPr>
              <w:rPr>
                <w:rFonts w:ascii="Arial" w:hAnsi="Arial" w:cs="Arial"/>
                <w:sz w:val="20"/>
                <w:szCs w:val="20"/>
              </w:rPr>
            </w:pPr>
            <w:r w:rsidRPr="00212C09">
              <w:rPr>
                <w:rFonts w:ascii="Arial" w:hAnsi="Arial" w:cs="Arial"/>
                <w:sz w:val="20"/>
                <w:szCs w:val="20"/>
              </w:rPr>
              <w:t xml:space="preserve"> </w:t>
            </w:r>
          </w:p>
          <w:p w:rsidR="003E0046" w:rsidRPr="00212C09" w:rsidRDefault="0034645B">
            <w:pPr>
              <w:rPr>
                <w:rFonts w:ascii="Arial" w:hAnsi="Arial" w:cs="Arial"/>
                <w:sz w:val="20"/>
                <w:szCs w:val="20"/>
              </w:rPr>
            </w:pPr>
            <w:r>
              <w:rPr>
                <w:rFonts w:ascii="Arial" w:hAnsi="Arial" w:cs="Arial"/>
                <w:sz w:val="20"/>
                <w:szCs w:val="20"/>
              </w:rPr>
              <w:t>Exchange rules provide that t</w:t>
            </w:r>
            <w:r w:rsidR="003E0046" w:rsidRPr="00212C09">
              <w:rPr>
                <w:rFonts w:ascii="Arial" w:hAnsi="Arial" w:cs="Arial"/>
                <w:sz w:val="20"/>
                <w:szCs w:val="20"/>
              </w:rPr>
              <w:t>he underlying</w:t>
            </w:r>
            <w:r w:rsidR="00622408">
              <w:rPr>
                <w:rFonts w:ascii="Arial" w:hAnsi="Arial" w:cs="Arial"/>
                <w:sz w:val="20"/>
                <w:szCs w:val="20"/>
              </w:rPr>
              <w:t xml:space="preserve"> </w:t>
            </w:r>
            <w:r w:rsidR="003E0046" w:rsidRPr="00212C09">
              <w:rPr>
                <w:rFonts w:ascii="Arial" w:hAnsi="Arial" w:cs="Arial"/>
                <w:sz w:val="20"/>
                <w:szCs w:val="20"/>
              </w:rPr>
              <w:t xml:space="preserve">interest </w:t>
            </w:r>
            <w:r w:rsidR="00E91B91">
              <w:rPr>
                <w:rFonts w:ascii="Arial" w:hAnsi="Arial" w:cs="Arial"/>
                <w:sz w:val="20"/>
                <w:szCs w:val="20"/>
              </w:rPr>
              <w:t xml:space="preserve">in </w:t>
            </w:r>
            <w:r w:rsidR="00D836E8">
              <w:rPr>
                <w:rFonts w:ascii="Arial" w:hAnsi="Arial" w:cs="Arial"/>
                <w:sz w:val="20"/>
                <w:szCs w:val="20"/>
              </w:rPr>
              <w:t xml:space="preserve">10-YR </w:t>
            </w:r>
            <w:r w:rsidR="00E91B91">
              <w:rPr>
                <w:rFonts w:ascii="Arial" w:hAnsi="Arial" w:cs="Arial"/>
                <w:sz w:val="20"/>
                <w:szCs w:val="20"/>
              </w:rPr>
              <w:t xml:space="preserve">DV01 Treasury Futures contracts </w:t>
            </w:r>
            <w:r w:rsidR="003E0046" w:rsidRPr="00212C09">
              <w:rPr>
                <w:rFonts w:ascii="Arial" w:hAnsi="Arial" w:cs="Arial"/>
                <w:sz w:val="20"/>
                <w:szCs w:val="20"/>
              </w:rPr>
              <w:t>is the dollar value (DV01) of a one basis point change in yield of the current On</w:t>
            </w:r>
            <w:r w:rsidR="00E91B91">
              <w:rPr>
                <w:rFonts w:ascii="Arial" w:hAnsi="Arial" w:cs="Arial"/>
                <w:sz w:val="20"/>
                <w:szCs w:val="20"/>
              </w:rPr>
              <w:t>-</w:t>
            </w:r>
            <w:r w:rsidR="003E0046" w:rsidRPr="00212C09">
              <w:rPr>
                <w:rFonts w:ascii="Arial" w:hAnsi="Arial" w:cs="Arial"/>
                <w:sz w:val="20"/>
                <w:szCs w:val="20"/>
              </w:rPr>
              <w:t>The</w:t>
            </w:r>
            <w:r w:rsidR="00E91B91">
              <w:rPr>
                <w:rFonts w:ascii="Arial" w:hAnsi="Arial" w:cs="Arial"/>
                <w:sz w:val="20"/>
                <w:szCs w:val="20"/>
              </w:rPr>
              <w:t>-</w:t>
            </w:r>
            <w:r w:rsidR="003E0046" w:rsidRPr="00212C09">
              <w:rPr>
                <w:rFonts w:ascii="Arial" w:hAnsi="Arial" w:cs="Arial"/>
                <w:sz w:val="20"/>
                <w:szCs w:val="20"/>
              </w:rPr>
              <w:t>Run 10-year U</w:t>
            </w:r>
            <w:r w:rsidR="00E91B91">
              <w:rPr>
                <w:rFonts w:ascii="Arial" w:hAnsi="Arial" w:cs="Arial"/>
                <w:sz w:val="20"/>
                <w:szCs w:val="20"/>
              </w:rPr>
              <w:t>.</w:t>
            </w:r>
            <w:r w:rsidR="003E0046" w:rsidRPr="00212C09">
              <w:rPr>
                <w:rFonts w:ascii="Arial" w:hAnsi="Arial" w:cs="Arial"/>
                <w:sz w:val="20"/>
                <w:szCs w:val="20"/>
              </w:rPr>
              <w:t>S</w:t>
            </w:r>
            <w:r w:rsidR="00E91B91">
              <w:rPr>
                <w:rFonts w:ascii="Arial" w:hAnsi="Arial" w:cs="Arial"/>
                <w:sz w:val="20"/>
                <w:szCs w:val="20"/>
              </w:rPr>
              <w:t>.</w:t>
            </w:r>
            <w:r w:rsidR="003E0046" w:rsidRPr="00212C09">
              <w:rPr>
                <w:rFonts w:ascii="Arial" w:hAnsi="Arial" w:cs="Arial"/>
                <w:sz w:val="20"/>
                <w:szCs w:val="20"/>
              </w:rPr>
              <w:t xml:space="preserve"> Treasury note with a face value of one million dollars having fixed semi-annual coupon payments</w:t>
            </w:r>
            <w:r w:rsidR="00E91B91">
              <w:rPr>
                <w:rFonts w:ascii="Arial" w:hAnsi="Arial" w:cs="Arial"/>
                <w:sz w:val="20"/>
                <w:szCs w:val="20"/>
              </w:rPr>
              <w:t>, as determined by the Exchange</w:t>
            </w:r>
            <w:r w:rsidR="003E0046" w:rsidRPr="00212C09">
              <w:rPr>
                <w:rFonts w:ascii="Arial" w:hAnsi="Arial" w:cs="Arial"/>
                <w:sz w:val="20"/>
                <w:szCs w:val="20"/>
              </w:rPr>
              <w:t>.</w:t>
            </w:r>
            <w:r w:rsidR="00622408">
              <w:rPr>
                <w:rFonts w:ascii="Arial" w:hAnsi="Arial" w:cs="Arial"/>
                <w:sz w:val="20"/>
                <w:szCs w:val="20"/>
              </w:rPr>
              <w:t xml:space="preserve">  </w:t>
            </w:r>
            <w:r w:rsidR="00212C09" w:rsidRPr="00212C09">
              <w:rPr>
                <w:rFonts w:ascii="Arial" w:hAnsi="Arial" w:cs="Arial"/>
                <w:sz w:val="20"/>
                <w:szCs w:val="20"/>
              </w:rPr>
              <w:t xml:space="preserve">The </w:t>
            </w:r>
            <w:r>
              <w:rPr>
                <w:rFonts w:ascii="Arial" w:hAnsi="Arial" w:cs="Arial"/>
                <w:sz w:val="20"/>
                <w:szCs w:val="20"/>
              </w:rPr>
              <w:t xml:space="preserve">Exchange has determined that the </w:t>
            </w:r>
            <w:r w:rsidR="00E91B91">
              <w:rPr>
                <w:rFonts w:ascii="Arial" w:hAnsi="Arial" w:cs="Arial"/>
                <w:sz w:val="20"/>
                <w:szCs w:val="20"/>
              </w:rPr>
              <w:t xml:space="preserve">DV01 for </w:t>
            </w:r>
            <w:r w:rsidR="00212C09" w:rsidRPr="00212C09">
              <w:rPr>
                <w:rFonts w:ascii="Arial" w:hAnsi="Arial" w:cs="Arial"/>
                <w:sz w:val="20"/>
                <w:szCs w:val="20"/>
              </w:rPr>
              <w:t>TYDX is $850.</w:t>
            </w:r>
          </w:p>
          <w:p w:rsidR="003E0046" w:rsidRPr="00212C09" w:rsidRDefault="003E0046">
            <w:pPr>
              <w:rPr>
                <w:rFonts w:ascii="Arial" w:hAnsi="Arial" w:cs="Arial"/>
                <w:sz w:val="20"/>
                <w:szCs w:val="20"/>
              </w:rPr>
            </w:pPr>
          </w:p>
          <w:p w:rsidR="003E0046" w:rsidRDefault="00212C09">
            <w:pPr>
              <w:rPr>
                <w:rFonts w:ascii="Arial" w:hAnsi="Arial" w:cs="Arial"/>
                <w:sz w:val="20"/>
                <w:szCs w:val="20"/>
              </w:rPr>
            </w:pPr>
            <w:r w:rsidRPr="00212C09">
              <w:rPr>
                <w:rFonts w:ascii="Arial" w:hAnsi="Arial" w:cs="Arial"/>
                <w:sz w:val="20"/>
                <w:szCs w:val="20"/>
              </w:rPr>
              <w:t>TYDX p</w:t>
            </w:r>
            <w:r w:rsidR="003E0046" w:rsidRPr="00212C09">
              <w:rPr>
                <w:rFonts w:ascii="Arial" w:hAnsi="Arial" w:cs="Arial"/>
                <w:sz w:val="20"/>
                <w:szCs w:val="20"/>
              </w:rPr>
              <w:t>rices are quoted in Yield-Derived Price, which is 100 minus the yield on the corresponding 10-year U.S. Treasury note expressed as a percentage. (For example, a yield of 2.065 percent shall be expressed as a Yield-Derived Price of 97.935.)  The minimum increment is one tenth basis point (.001)</w:t>
            </w:r>
            <w:r w:rsidR="00E91B91">
              <w:rPr>
                <w:rFonts w:ascii="Arial" w:hAnsi="Arial" w:cs="Arial"/>
                <w:sz w:val="20"/>
                <w:szCs w:val="20"/>
              </w:rPr>
              <w:t>, which is</w:t>
            </w:r>
            <w:r w:rsidR="00412AA7">
              <w:rPr>
                <w:rFonts w:ascii="Arial" w:hAnsi="Arial" w:cs="Arial"/>
                <w:sz w:val="20"/>
                <w:szCs w:val="20"/>
              </w:rPr>
              <w:t xml:space="preserve"> </w:t>
            </w:r>
            <w:r w:rsidR="003E0046" w:rsidRPr="00212C09">
              <w:rPr>
                <w:rFonts w:ascii="Arial" w:hAnsi="Arial" w:cs="Arial"/>
                <w:sz w:val="20"/>
                <w:szCs w:val="20"/>
              </w:rPr>
              <w:t>equivalent to one-tenth of the contract month DV01.</w:t>
            </w:r>
            <w:r w:rsidRPr="00212C09">
              <w:rPr>
                <w:rFonts w:ascii="Arial" w:hAnsi="Arial" w:cs="Arial"/>
                <w:sz w:val="20"/>
                <w:szCs w:val="20"/>
              </w:rPr>
              <w:t xml:space="preserve">  Accordingly, the TYDX minimum increment is $85.00.</w:t>
            </w:r>
          </w:p>
          <w:p w:rsidR="00A44858" w:rsidRDefault="00A44858">
            <w:pPr>
              <w:rPr>
                <w:rFonts w:ascii="Arial" w:hAnsi="Arial" w:cs="Arial"/>
                <w:sz w:val="20"/>
                <w:szCs w:val="20"/>
              </w:rPr>
            </w:pPr>
          </w:p>
          <w:p w:rsidR="00A44858" w:rsidRPr="00212C09" w:rsidRDefault="00A44858">
            <w:pPr>
              <w:rPr>
                <w:rFonts w:ascii="Arial" w:hAnsi="Arial" w:cs="Arial"/>
                <w:sz w:val="20"/>
                <w:szCs w:val="20"/>
              </w:rPr>
            </w:pPr>
            <w:r>
              <w:rPr>
                <w:rFonts w:ascii="Arial" w:hAnsi="Arial" w:cs="Arial"/>
                <w:sz w:val="20"/>
                <w:szCs w:val="20"/>
              </w:rPr>
              <w:t xml:space="preserve">When the Exchange lists additional </w:t>
            </w:r>
            <w:r w:rsidRPr="00A44858">
              <w:rPr>
                <w:rFonts w:ascii="Arial" w:hAnsi="Arial" w:cs="Arial"/>
                <w:sz w:val="20"/>
                <w:szCs w:val="20"/>
              </w:rPr>
              <w:t>U.S. 10-YR DV01 Treasury Futures</w:t>
            </w:r>
            <w:r>
              <w:rPr>
                <w:rFonts w:ascii="Arial" w:hAnsi="Arial" w:cs="Arial"/>
                <w:sz w:val="20"/>
                <w:szCs w:val="20"/>
              </w:rPr>
              <w:t xml:space="preserve"> </w:t>
            </w:r>
            <w:r w:rsidR="00D836E8">
              <w:rPr>
                <w:rFonts w:ascii="Arial" w:hAnsi="Arial" w:cs="Arial"/>
                <w:sz w:val="20"/>
                <w:szCs w:val="20"/>
              </w:rPr>
              <w:t xml:space="preserve">contract months, those </w:t>
            </w:r>
            <w:r w:rsidR="00E91B91">
              <w:rPr>
                <w:rFonts w:ascii="Arial" w:hAnsi="Arial" w:cs="Arial"/>
                <w:sz w:val="20"/>
                <w:szCs w:val="20"/>
              </w:rPr>
              <w:t>contract month</w:t>
            </w:r>
            <w:r w:rsidR="00D836E8">
              <w:rPr>
                <w:rFonts w:ascii="Arial" w:hAnsi="Arial" w:cs="Arial"/>
                <w:sz w:val="20"/>
                <w:szCs w:val="20"/>
              </w:rPr>
              <w:t>s will be assigned a base trading symbol and a DV01</w:t>
            </w:r>
            <w:r>
              <w:rPr>
                <w:rFonts w:ascii="Arial" w:hAnsi="Arial" w:cs="Arial"/>
                <w:sz w:val="20"/>
                <w:szCs w:val="20"/>
              </w:rPr>
              <w:t xml:space="preserve">.  </w:t>
            </w:r>
            <w:r w:rsidR="00622408">
              <w:rPr>
                <w:rFonts w:ascii="Arial" w:hAnsi="Arial" w:cs="Arial"/>
                <w:sz w:val="20"/>
                <w:szCs w:val="20"/>
              </w:rPr>
              <w:t>T</w:t>
            </w:r>
            <w:r w:rsidRPr="00212C09">
              <w:rPr>
                <w:rFonts w:ascii="Arial" w:hAnsi="Arial" w:cs="Arial"/>
                <w:sz w:val="20"/>
                <w:szCs w:val="20"/>
              </w:rPr>
              <w:t>he DV01 assigned by the Exchange at the time of listing</w:t>
            </w:r>
            <w:r>
              <w:rPr>
                <w:rFonts w:ascii="Arial" w:hAnsi="Arial" w:cs="Arial"/>
                <w:sz w:val="20"/>
                <w:szCs w:val="20"/>
              </w:rPr>
              <w:t xml:space="preserve"> will not change for the life of the </w:t>
            </w:r>
            <w:r w:rsidR="00E91B91">
              <w:rPr>
                <w:rFonts w:ascii="Arial" w:hAnsi="Arial" w:cs="Arial"/>
                <w:sz w:val="20"/>
                <w:szCs w:val="20"/>
              </w:rPr>
              <w:t>contract month</w:t>
            </w:r>
            <w:r>
              <w:rPr>
                <w:rFonts w:ascii="Arial" w:hAnsi="Arial" w:cs="Arial"/>
                <w:sz w:val="20"/>
                <w:szCs w:val="20"/>
              </w:rPr>
              <w:t xml:space="preserve">.  There will never be a </w:t>
            </w:r>
            <w:r w:rsidR="00E91B91">
              <w:rPr>
                <w:rFonts w:ascii="Arial" w:hAnsi="Arial" w:cs="Arial"/>
                <w:sz w:val="20"/>
                <w:szCs w:val="20"/>
              </w:rPr>
              <w:t>contract month</w:t>
            </w:r>
            <w:r w:rsidR="00622408">
              <w:rPr>
                <w:rFonts w:ascii="Arial" w:hAnsi="Arial" w:cs="Arial"/>
                <w:sz w:val="20"/>
                <w:szCs w:val="20"/>
              </w:rPr>
              <w:t xml:space="preserve"> </w:t>
            </w:r>
            <w:r w:rsidR="00E91B91">
              <w:rPr>
                <w:rFonts w:ascii="Arial" w:hAnsi="Arial" w:cs="Arial"/>
                <w:sz w:val="20"/>
                <w:szCs w:val="20"/>
              </w:rPr>
              <w:t xml:space="preserve">with </w:t>
            </w:r>
            <w:r>
              <w:rPr>
                <w:rFonts w:ascii="Arial" w:hAnsi="Arial" w:cs="Arial"/>
                <w:sz w:val="20"/>
                <w:szCs w:val="20"/>
              </w:rPr>
              <w:t>variable DV01 dollar values.</w:t>
            </w:r>
            <w:r w:rsidR="00D836E8">
              <w:rPr>
                <w:rFonts w:ascii="Arial" w:hAnsi="Arial" w:cs="Arial"/>
                <w:sz w:val="20"/>
                <w:szCs w:val="20"/>
              </w:rPr>
              <w:t xml:space="preserve">  Contract months having the same DV01 will be assigned the same base symbol.</w:t>
            </w:r>
          </w:p>
          <w:p w:rsidR="003E0046" w:rsidRPr="00212C09" w:rsidRDefault="003E0046">
            <w:pPr>
              <w:rPr>
                <w:rFonts w:ascii="Arial" w:hAnsi="Arial" w:cs="Arial"/>
                <w:sz w:val="20"/>
                <w:szCs w:val="20"/>
              </w:rPr>
            </w:pPr>
          </w:p>
          <w:p w:rsidR="00212C09" w:rsidRPr="00212C09" w:rsidRDefault="00212C09">
            <w:pPr>
              <w:rPr>
                <w:rFonts w:ascii="Arial" w:hAnsi="Arial" w:cs="Arial"/>
                <w:sz w:val="20"/>
                <w:szCs w:val="20"/>
              </w:rPr>
            </w:pPr>
            <w:r w:rsidRPr="00212C09">
              <w:rPr>
                <w:rFonts w:ascii="Arial" w:hAnsi="Arial" w:cs="Arial"/>
                <w:sz w:val="20"/>
                <w:szCs w:val="20"/>
              </w:rPr>
              <w:t xml:space="preserve">The Options Clearing Corporation (OCC) has informed the Exchange that a sample U.S. 10-YR DV01 Treasury Futures </w:t>
            </w:r>
            <w:r w:rsidR="00E91B91">
              <w:rPr>
                <w:rFonts w:ascii="Arial" w:hAnsi="Arial" w:cs="Arial"/>
                <w:sz w:val="20"/>
                <w:szCs w:val="20"/>
              </w:rPr>
              <w:t xml:space="preserve">SPAN file </w:t>
            </w:r>
            <w:r w:rsidRPr="00212C09">
              <w:rPr>
                <w:rFonts w:ascii="Arial" w:hAnsi="Arial" w:cs="Arial"/>
                <w:sz w:val="20"/>
                <w:szCs w:val="20"/>
              </w:rPr>
              <w:t>is available to OCC Member Firms upon request from assigned Member Services Representatives.</w:t>
            </w:r>
          </w:p>
          <w:p w:rsidR="00C03B32" w:rsidRPr="00212C09" w:rsidRDefault="00C03B32">
            <w:pPr>
              <w:rPr>
                <w:rFonts w:ascii="Arial" w:hAnsi="Arial" w:cs="Arial"/>
                <w:sz w:val="20"/>
                <w:szCs w:val="20"/>
              </w:rPr>
            </w:pPr>
          </w:p>
          <w:p w:rsidR="00C03B32" w:rsidRPr="00212C09" w:rsidRDefault="00C03B32">
            <w:pPr>
              <w:rPr>
                <w:rFonts w:ascii="Arial" w:hAnsi="Arial" w:cs="Arial"/>
                <w:sz w:val="20"/>
                <w:szCs w:val="20"/>
              </w:rPr>
            </w:pPr>
            <w:r w:rsidRPr="00212C09">
              <w:rPr>
                <w:rFonts w:ascii="Arial" w:hAnsi="Arial" w:cs="Arial"/>
                <w:sz w:val="20"/>
                <w:szCs w:val="20"/>
              </w:rPr>
              <w:t xml:space="preserve">For additional information, please contact </w:t>
            </w:r>
            <w:hyperlink r:id="rId15" w:history="1">
              <w:r w:rsidRPr="00212C09">
                <w:rPr>
                  <w:rStyle w:val="Hyperlink"/>
                  <w:rFonts w:ascii="Arial" w:hAnsi="Arial" w:cs="Arial"/>
                  <w:sz w:val="20"/>
                  <w:szCs w:val="20"/>
                </w:rPr>
                <w:t>NFX Market Operations</w:t>
              </w:r>
            </w:hyperlink>
            <w:r w:rsidRPr="00212C09">
              <w:rPr>
                <w:rFonts w:ascii="Arial" w:hAnsi="Arial" w:cs="Arial"/>
                <w:sz w:val="20"/>
                <w:szCs w:val="20"/>
              </w:rPr>
              <w:t>.</w:t>
            </w:r>
          </w:p>
          <w:p w:rsidR="00E36BE7" w:rsidRPr="00212C09" w:rsidRDefault="00E36BE7">
            <w:pPr>
              <w:rPr>
                <w:rFonts w:ascii="Arial" w:hAnsi="Arial" w:cs="Arial"/>
                <w:sz w:val="20"/>
                <w:szCs w:val="20"/>
              </w:rPr>
            </w:pPr>
          </w:p>
          <w:p w:rsidR="003E0046" w:rsidRPr="00212C09" w:rsidRDefault="003E0046">
            <w:pPr>
              <w:rPr>
                <w:rFonts w:ascii="Arial" w:hAnsi="Arial" w:cs="Arial"/>
                <w:sz w:val="20"/>
                <w:szCs w:val="20"/>
              </w:rPr>
            </w:pPr>
          </w:p>
          <w:p w:rsidR="003E0046" w:rsidRPr="00212C09" w:rsidRDefault="003E0046">
            <w:pPr>
              <w:rPr>
                <w:rFonts w:ascii="Arial" w:hAnsi="Arial" w:cs="Arial"/>
                <w:sz w:val="20"/>
                <w:szCs w:val="20"/>
              </w:rPr>
            </w:pPr>
          </w:p>
          <w:p w:rsidR="00E36BE7" w:rsidRPr="00212C09" w:rsidRDefault="00E36BE7" w:rsidP="00E36BE7">
            <w:pPr>
              <w:pStyle w:val="NormalWeb"/>
              <w:shd w:val="clear" w:color="auto" w:fill="FFFFFF"/>
              <w:spacing w:before="0" w:beforeAutospacing="0" w:after="0" w:afterAutospacing="0"/>
              <w:rPr>
                <w:rFonts w:ascii="Arial" w:hAnsi="Arial" w:cs="Arial"/>
                <w:color w:val="000000"/>
                <w:sz w:val="20"/>
                <w:szCs w:val="20"/>
              </w:rPr>
            </w:pPr>
            <w:r w:rsidRPr="00212C09">
              <w:rPr>
                <w:rStyle w:val="Strong"/>
                <w:rFonts w:ascii="Arial" w:hAnsi="Arial" w:cs="Arial"/>
                <w:color w:val="000000"/>
                <w:sz w:val="20"/>
                <w:szCs w:val="20"/>
                <w:bdr w:val="none" w:sz="0" w:space="0" w:color="auto" w:frame="1"/>
              </w:rPr>
              <w:t>How will speculative customer initial margin be determined?</w:t>
            </w:r>
          </w:p>
          <w:p w:rsidR="00E36BE7" w:rsidRPr="00212C09" w:rsidRDefault="00E36BE7" w:rsidP="00E36BE7">
            <w:pPr>
              <w:pStyle w:val="NormalWeb"/>
              <w:shd w:val="clear" w:color="auto" w:fill="FFFFFF"/>
              <w:spacing w:before="0" w:beforeAutospacing="0" w:after="150" w:afterAutospacing="0"/>
              <w:rPr>
                <w:rFonts w:ascii="Arial" w:hAnsi="Arial" w:cs="Arial"/>
                <w:color w:val="000000"/>
                <w:sz w:val="20"/>
                <w:szCs w:val="20"/>
              </w:rPr>
            </w:pPr>
            <w:r w:rsidRPr="00212C09">
              <w:rPr>
                <w:rFonts w:ascii="Arial" w:hAnsi="Arial" w:cs="Arial"/>
                <w:color w:val="000000"/>
                <w:sz w:val="20"/>
                <w:szCs w:val="20"/>
              </w:rPr>
              <w:t>Pursuant to CFTC regulations, The Options Clearing Corporation (“OCC”) will set the speculative customer initial margin requirement on NFX futures and options on futures.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w:t>
            </w:r>
            <w:proofErr w:type="spellStart"/>
            <w:r w:rsidRPr="00212C09">
              <w:rPr>
                <w:rFonts w:ascii="Arial" w:hAnsi="Arial" w:cs="Arial"/>
                <w:color w:val="000000"/>
                <w:sz w:val="20"/>
                <w:szCs w:val="20"/>
              </w:rPr>
              <w:t>VaR</w:t>
            </w:r>
            <w:proofErr w:type="spellEnd"/>
            <w:r w:rsidRPr="00212C09">
              <w:rPr>
                <w:rFonts w:ascii="Arial" w:hAnsi="Arial" w:cs="Arial"/>
                <w:color w:val="000000"/>
                <w:sz w:val="20"/>
                <w:szCs w:val="20"/>
              </w:rPr>
              <w:t>)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w:t>
            </w:r>
          </w:p>
          <w:p w:rsidR="00E36BE7" w:rsidRPr="00212C09" w:rsidRDefault="00E36BE7" w:rsidP="00E36BE7">
            <w:pPr>
              <w:pStyle w:val="NormalWeb"/>
              <w:shd w:val="clear" w:color="auto" w:fill="FFFFFF"/>
              <w:spacing w:before="0" w:beforeAutospacing="0" w:after="0" w:afterAutospacing="0"/>
              <w:rPr>
                <w:rFonts w:ascii="Arial" w:hAnsi="Arial" w:cs="Arial"/>
                <w:color w:val="000000"/>
                <w:sz w:val="20"/>
                <w:szCs w:val="20"/>
              </w:rPr>
            </w:pPr>
            <w:r w:rsidRPr="00212C09">
              <w:rPr>
                <w:rStyle w:val="Strong"/>
                <w:rFonts w:ascii="Arial" w:hAnsi="Arial" w:cs="Arial"/>
                <w:color w:val="000000"/>
                <w:sz w:val="20"/>
                <w:szCs w:val="20"/>
                <w:bdr w:val="none" w:sz="0" w:space="0" w:color="auto" w:frame="1"/>
              </w:rPr>
              <w:t>How will customer maintenance margin be determined?</w:t>
            </w:r>
          </w:p>
          <w:p w:rsidR="00E36BE7" w:rsidRPr="00212C09" w:rsidRDefault="00E36BE7" w:rsidP="00E36BE7">
            <w:pPr>
              <w:pStyle w:val="NormalWeb"/>
              <w:shd w:val="clear" w:color="auto" w:fill="FFFFFF"/>
              <w:spacing w:before="0" w:beforeAutospacing="0" w:after="150" w:afterAutospacing="0"/>
              <w:rPr>
                <w:rFonts w:ascii="Arial" w:hAnsi="Arial" w:cs="Arial"/>
                <w:color w:val="000000"/>
                <w:sz w:val="20"/>
                <w:szCs w:val="20"/>
              </w:rPr>
            </w:pPr>
            <w:r w:rsidRPr="00212C09">
              <w:rPr>
                <w:rFonts w:ascii="Arial" w:hAnsi="Arial" w:cs="Arial"/>
                <w:color w:val="000000"/>
                <w:sz w:val="20"/>
                <w:szCs w:val="20"/>
              </w:rPr>
              <w:t xml:space="preserve">NFX has adopted OCC’s </w:t>
            </w:r>
            <w:proofErr w:type="spellStart"/>
            <w:r w:rsidRPr="00212C09">
              <w:rPr>
                <w:rFonts w:ascii="Arial" w:hAnsi="Arial" w:cs="Arial"/>
                <w:color w:val="000000"/>
                <w:sz w:val="20"/>
                <w:szCs w:val="20"/>
              </w:rPr>
              <w:t>VaR</w:t>
            </w:r>
            <w:proofErr w:type="spellEnd"/>
            <w:r w:rsidRPr="00212C09">
              <w:rPr>
                <w:rFonts w:ascii="Arial" w:hAnsi="Arial" w:cs="Arial"/>
                <w:color w:val="000000"/>
                <w:sz w:val="20"/>
                <w:szCs w:val="20"/>
              </w:rPr>
              <w:t xml:space="preserve"> calculation as described above as the customer maintenance margin requirement.</w:t>
            </w:r>
          </w:p>
          <w:p w:rsidR="00E36BE7" w:rsidRPr="00212C09" w:rsidRDefault="00E36BE7" w:rsidP="00E36BE7">
            <w:pPr>
              <w:pStyle w:val="NormalWeb"/>
              <w:shd w:val="clear" w:color="auto" w:fill="FFFFFF"/>
              <w:spacing w:before="0" w:beforeAutospacing="0" w:after="0" w:afterAutospacing="0"/>
              <w:rPr>
                <w:rFonts w:ascii="Arial" w:hAnsi="Arial" w:cs="Arial"/>
                <w:color w:val="000000"/>
                <w:sz w:val="20"/>
                <w:szCs w:val="20"/>
              </w:rPr>
            </w:pPr>
            <w:r w:rsidRPr="00212C09">
              <w:rPr>
                <w:rStyle w:val="Strong"/>
                <w:rFonts w:ascii="Arial" w:hAnsi="Arial" w:cs="Arial"/>
                <w:color w:val="000000"/>
                <w:sz w:val="20"/>
                <w:szCs w:val="20"/>
                <w:bdr w:val="none" w:sz="0" w:space="0" w:color="auto" w:frame="1"/>
              </w:rPr>
              <w:t>How will hedge customer initial margin and futures participant initial margin be determined?</w:t>
            </w:r>
          </w:p>
          <w:p w:rsidR="00E36BE7" w:rsidRPr="00212C09" w:rsidRDefault="00E36BE7" w:rsidP="00E36BE7">
            <w:pPr>
              <w:pStyle w:val="NormalWeb"/>
              <w:shd w:val="clear" w:color="auto" w:fill="FFFFFF"/>
              <w:spacing w:before="0" w:beforeAutospacing="0" w:after="150" w:afterAutospacing="0"/>
              <w:rPr>
                <w:rFonts w:ascii="Arial" w:hAnsi="Arial" w:cs="Arial"/>
                <w:color w:val="000000"/>
                <w:sz w:val="20"/>
                <w:szCs w:val="20"/>
              </w:rPr>
            </w:pPr>
            <w:r w:rsidRPr="00212C09">
              <w:rPr>
                <w:rFonts w:ascii="Arial" w:hAnsi="Arial" w:cs="Arial"/>
                <w:color w:val="000000"/>
                <w:sz w:val="20"/>
                <w:szCs w:val="20"/>
              </w:rPr>
              <w:t xml:space="preserve">NFX has adopted OCC’s </w:t>
            </w:r>
            <w:proofErr w:type="spellStart"/>
            <w:r w:rsidRPr="00212C09">
              <w:rPr>
                <w:rFonts w:ascii="Arial" w:hAnsi="Arial" w:cs="Arial"/>
                <w:color w:val="000000"/>
                <w:sz w:val="20"/>
                <w:szCs w:val="20"/>
              </w:rPr>
              <w:t>VaR</w:t>
            </w:r>
            <w:proofErr w:type="spellEnd"/>
            <w:r w:rsidRPr="00212C09">
              <w:rPr>
                <w:rFonts w:ascii="Arial" w:hAnsi="Arial" w:cs="Arial"/>
                <w:color w:val="000000"/>
                <w:sz w:val="20"/>
                <w:szCs w:val="20"/>
              </w:rPr>
              <w:t xml:space="preserve"> calculation as described above as the initial and maintenance margin requirement for hedge customers and Futures Participants.</w:t>
            </w:r>
          </w:p>
          <w:p w:rsidR="00E36BE7" w:rsidRPr="00212C09" w:rsidRDefault="00E36BE7" w:rsidP="00E36BE7">
            <w:pPr>
              <w:pStyle w:val="NormalWeb"/>
              <w:shd w:val="clear" w:color="auto" w:fill="FFFFFF"/>
              <w:spacing w:before="0" w:beforeAutospacing="0" w:after="0" w:afterAutospacing="0"/>
              <w:rPr>
                <w:rFonts w:ascii="Arial" w:hAnsi="Arial" w:cs="Arial"/>
                <w:color w:val="000000"/>
                <w:sz w:val="20"/>
                <w:szCs w:val="20"/>
              </w:rPr>
            </w:pPr>
            <w:r w:rsidRPr="00212C09">
              <w:rPr>
                <w:rStyle w:val="Strong"/>
                <w:rFonts w:ascii="Arial" w:hAnsi="Arial" w:cs="Arial"/>
                <w:color w:val="000000"/>
                <w:sz w:val="20"/>
                <w:szCs w:val="20"/>
                <w:bdr w:val="none" w:sz="0" w:space="0" w:color="auto" w:frame="1"/>
              </w:rPr>
              <w:t>Where can I find the margin rates?</w:t>
            </w:r>
          </w:p>
          <w:p w:rsidR="00E36BE7" w:rsidRPr="00212C09" w:rsidRDefault="00E36BE7" w:rsidP="00E36BE7">
            <w:pPr>
              <w:pStyle w:val="NormalWeb"/>
              <w:shd w:val="clear" w:color="auto" w:fill="FFFFFF"/>
              <w:spacing w:before="0" w:beforeAutospacing="0" w:after="0" w:afterAutospacing="0"/>
              <w:rPr>
                <w:rFonts w:ascii="Arial" w:hAnsi="Arial" w:cs="Arial"/>
                <w:color w:val="000000"/>
                <w:sz w:val="20"/>
                <w:szCs w:val="20"/>
              </w:rPr>
            </w:pPr>
            <w:r w:rsidRPr="00212C09">
              <w:rPr>
                <w:rFonts w:ascii="Arial" w:hAnsi="Arial" w:cs="Arial"/>
                <w:color w:val="000000"/>
                <w:sz w:val="20"/>
                <w:szCs w:val="20"/>
              </w:rPr>
              <w:t>NFX margin rates will be available on the OCC website at: </w:t>
            </w:r>
            <w:hyperlink r:id="rId16" w:history="1">
              <w:r w:rsidRPr="00212C09">
                <w:rPr>
                  <w:rStyle w:val="Hyperlink"/>
                  <w:rFonts w:ascii="Arial" w:hAnsi="Arial" w:cs="Arial"/>
                  <w:color w:val="0190C8"/>
                  <w:sz w:val="20"/>
                  <w:szCs w:val="20"/>
                  <w:bdr w:val="none" w:sz="0" w:space="0" w:color="auto" w:frame="1"/>
                </w:rPr>
                <w:t>www.theocc.com</w:t>
              </w:r>
            </w:hyperlink>
            <w:r w:rsidRPr="00212C09">
              <w:rPr>
                <w:rFonts w:ascii="Arial" w:hAnsi="Arial" w:cs="Arial"/>
                <w:color w:val="000000"/>
                <w:sz w:val="20"/>
                <w:szCs w:val="20"/>
              </w:rPr>
              <w:t>.</w:t>
            </w:r>
          </w:p>
          <w:p w:rsidR="00E36BE7" w:rsidRPr="00212C09" w:rsidRDefault="00E36BE7" w:rsidP="00E36BE7">
            <w:pPr>
              <w:pStyle w:val="NormalWeb"/>
              <w:shd w:val="clear" w:color="auto" w:fill="FFFFFF"/>
              <w:spacing w:before="0" w:beforeAutospacing="0" w:after="0" w:afterAutospacing="0"/>
              <w:rPr>
                <w:rFonts w:ascii="Arial" w:hAnsi="Arial" w:cs="Arial"/>
                <w:color w:val="000000"/>
                <w:sz w:val="20"/>
                <w:szCs w:val="20"/>
              </w:rPr>
            </w:pPr>
            <w:r w:rsidRPr="00212C09">
              <w:rPr>
                <w:rFonts w:ascii="Arial" w:hAnsi="Arial" w:cs="Arial"/>
                <w:color w:val="000000"/>
                <w:sz w:val="20"/>
                <w:szCs w:val="20"/>
              </w:rPr>
              <w:t>For additional information, please contact </w:t>
            </w:r>
            <w:hyperlink r:id="rId17" w:history="1">
              <w:r w:rsidRPr="00212C09">
                <w:rPr>
                  <w:rStyle w:val="Hyperlink"/>
                  <w:rFonts w:ascii="Arial" w:hAnsi="Arial" w:cs="Arial"/>
                  <w:color w:val="0190C8"/>
                  <w:sz w:val="20"/>
                  <w:szCs w:val="20"/>
                  <w:bdr w:val="none" w:sz="0" w:space="0" w:color="auto" w:frame="1"/>
                </w:rPr>
                <w:t>NFX Market Operations</w:t>
              </w:r>
            </w:hyperlink>
            <w:r w:rsidRPr="00212C09">
              <w:rPr>
                <w:rFonts w:ascii="Arial" w:hAnsi="Arial" w:cs="Arial"/>
                <w:color w:val="000000"/>
                <w:sz w:val="20"/>
                <w:szCs w:val="20"/>
              </w:rPr>
              <w:t> or call 215.496.5409.</w:t>
            </w:r>
          </w:p>
          <w:p w:rsidR="00E36BE7" w:rsidRDefault="00E36BE7">
            <w:pPr>
              <w:rPr>
                <w:color w:val="000000"/>
                <w:sz w:val="22"/>
                <w:szCs w:val="22"/>
              </w:rPr>
            </w:pPr>
          </w:p>
        </w:tc>
      </w:tr>
    </w:tbl>
    <w:p w:rsidR="00C03B32" w:rsidRDefault="00AA22F7" w:rsidP="00C03B32">
      <w:pPr>
        <w:jc w:val="center"/>
        <w:rPr>
          <w:rFonts w:eastAsia="Times New Roman"/>
        </w:rPr>
      </w:pPr>
      <w:r>
        <w:rPr>
          <w:rFonts w:eastAsia="Times New Roman"/>
        </w:rPr>
        <w:lastRenderedPageBreak/>
        <w:pict>
          <v:rect id="_x0000_i1025" style="width:468pt;height:1.2pt" o:hralign="center" o:hrstd="t" o:hr="t" fillcolor="#a0a0a0" stroked="f"/>
        </w:pict>
      </w:r>
    </w:p>
    <w:p w:rsidR="00C03B32" w:rsidRDefault="00C03B32" w:rsidP="00C03B32">
      <w:pPr>
        <w:spacing w:before="100" w:beforeAutospacing="1" w:after="150"/>
        <w:rPr>
          <w:rFonts w:ascii="Arial" w:hAnsi="Arial" w:cs="Arial"/>
          <w:color w:val="1D5296"/>
          <w:sz w:val="18"/>
          <w:szCs w:val="18"/>
        </w:rPr>
      </w:pPr>
      <w:r>
        <w:rPr>
          <w:rFonts w:ascii="Arial" w:hAnsi="Arial" w:cs="Arial"/>
          <w:color w:val="1D5296"/>
          <w:sz w:val="18"/>
          <w:szCs w:val="18"/>
        </w:rPr>
        <w:t xml:space="preserve">Please follow </w:t>
      </w:r>
      <w:proofErr w:type="gramStart"/>
      <w:r>
        <w:rPr>
          <w:rFonts w:ascii="Arial" w:hAnsi="Arial" w:cs="Arial"/>
          <w:color w:val="1D5296"/>
          <w:sz w:val="18"/>
          <w:szCs w:val="18"/>
        </w:rPr>
        <w:t>Nasdaq</w:t>
      </w:r>
      <w:proofErr w:type="gramEnd"/>
      <w:r>
        <w:rPr>
          <w:rFonts w:ascii="Arial" w:hAnsi="Arial" w:cs="Arial"/>
          <w:color w:val="1D5296"/>
          <w:sz w:val="18"/>
          <w:szCs w:val="18"/>
        </w:rPr>
        <w:t xml:space="preserve"> on </w:t>
      </w:r>
      <w:r>
        <w:rPr>
          <w:rFonts w:ascii="Arial" w:hAnsi="Arial" w:cs="Arial"/>
          <w:noProof/>
          <w:color w:val="1D5296"/>
          <w:sz w:val="18"/>
          <w:szCs w:val="18"/>
        </w:rPr>
        <w:drawing>
          <wp:inline distT="0" distB="0" distL="0" distR="0">
            <wp:extent cx="190500" cy="190500"/>
            <wp:effectExtent l="0" t="0" r="0" b="0"/>
            <wp:docPr id="3" name="Picture 3" descr="http://www.nasdaqtrader.com/content/images/facebookIcon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sdaqtrader.com/content/images/facebookIcon_16x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9" w:history="1">
        <w:r>
          <w:rPr>
            <w:rStyle w:val="Hyperlink"/>
            <w:rFonts w:ascii="Arial" w:hAnsi="Arial" w:cs="Arial"/>
            <w:sz w:val="18"/>
            <w:szCs w:val="18"/>
          </w:rPr>
          <w:t>Facebook</w:t>
        </w:r>
      </w:hyperlink>
      <w:r>
        <w:rPr>
          <w:rFonts w:ascii="Arial" w:hAnsi="Arial" w:cs="Arial"/>
          <w:color w:val="1D5296"/>
          <w:sz w:val="18"/>
          <w:szCs w:val="18"/>
        </w:rPr>
        <w:t xml:space="preserve"> </w:t>
      </w:r>
      <w:r>
        <w:rPr>
          <w:rFonts w:ascii="Arial" w:hAnsi="Arial" w:cs="Arial"/>
          <w:noProof/>
          <w:color w:val="1D5296"/>
          <w:sz w:val="18"/>
          <w:szCs w:val="18"/>
        </w:rPr>
        <w:drawing>
          <wp:inline distT="0" distB="0" distL="0" distR="0">
            <wp:extent cx="190500" cy="190500"/>
            <wp:effectExtent l="0" t="0" r="0" b="0"/>
            <wp:docPr id="2" name="Picture 2" descr="http://www.nasdaqtrader.com/images/RSSicon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sdaqtrader.com/images/RSSicon16x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21" w:history="1">
        <w:r>
          <w:rPr>
            <w:rStyle w:val="Hyperlink"/>
            <w:rFonts w:ascii="Arial" w:hAnsi="Arial" w:cs="Arial"/>
            <w:sz w:val="18"/>
            <w:szCs w:val="18"/>
          </w:rPr>
          <w:t>RSS</w:t>
        </w:r>
      </w:hyperlink>
      <w:r>
        <w:rPr>
          <w:rFonts w:ascii="Arial" w:hAnsi="Arial" w:cs="Arial"/>
          <w:color w:val="1D5296"/>
          <w:sz w:val="18"/>
          <w:szCs w:val="18"/>
        </w:rPr>
        <w:t xml:space="preserve"> and </w:t>
      </w:r>
      <w:r>
        <w:rPr>
          <w:rFonts w:ascii="Arial" w:hAnsi="Arial" w:cs="Arial"/>
          <w:noProof/>
          <w:color w:val="1D5296"/>
          <w:sz w:val="18"/>
          <w:szCs w:val="18"/>
        </w:rPr>
        <w:drawing>
          <wp:inline distT="0" distB="0" distL="0" distR="0">
            <wp:extent cx="190500" cy="190500"/>
            <wp:effectExtent l="0" t="0" r="0" b="0"/>
            <wp:docPr id="1" name="Picture 1" descr="http://www.nasdaqtrader.com/content/images/twitterIcon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sdaqtrader.com/content/images/twitterIcon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23" w:history="1">
        <w:r>
          <w:rPr>
            <w:rStyle w:val="Hyperlink"/>
            <w:rFonts w:ascii="Arial" w:hAnsi="Arial" w:cs="Arial"/>
            <w:sz w:val="18"/>
            <w:szCs w:val="18"/>
          </w:rPr>
          <w:t>Twitter</w:t>
        </w:r>
      </w:hyperlink>
      <w:r>
        <w:rPr>
          <w:rFonts w:ascii="Arial" w:hAnsi="Arial" w:cs="Arial"/>
          <w:color w:val="1D5296"/>
          <w:sz w:val="18"/>
          <w:szCs w:val="18"/>
        </w:rPr>
        <w:t>.</w:t>
      </w:r>
    </w:p>
    <w:p w:rsidR="00C03B32" w:rsidRDefault="00C03B32" w:rsidP="00C03B32">
      <w:pPr>
        <w:rPr>
          <w:rFonts w:ascii="Arial" w:hAnsi="Arial" w:cs="Arial"/>
          <w:color w:val="1D5296"/>
          <w:sz w:val="15"/>
          <w:szCs w:val="15"/>
        </w:rPr>
      </w:pPr>
      <w:r>
        <w:rPr>
          <w:rFonts w:ascii="Arial" w:hAnsi="Arial" w:cs="Arial"/>
          <w:color w:val="1D5296"/>
          <w:sz w:val="15"/>
          <w:szCs w:val="15"/>
        </w:rPr>
        <w:t xml:space="preserve">Nasdaq (Nasdaq: NDAQ) is a leading provider of trading, clearing, exchange technology, listing, information and public company services across six continents. Through its diverse portfolio of solutions, Nasdaq enables customers to plan, optimize and execute their business vision with confidence, using proven technologies that provide transparency and insight for navigating today's global capital markets. As the creator of the world's first electronic stock market, its technology powers more than 70 marketplaces in 50 countries, and 1 in 10 of the world's securities transactions. </w:t>
      </w:r>
      <w:proofErr w:type="gramStart"/>
      <w:r>
        <w:rPr>
          <w:rFonts w:ascii="Arial" w:hAnsi="Arial" w:cs="Arial"/>
          <w:color w:val="1D5296"/>
          <w:sz w:val="15"/>
          <w:szCs w:val="15"/>
        </w:rPr>
        <w:t>Nasdaq</w:t>
      </w:r>
      <w:proofErr w:type="gramEnd"/>
      <w:r>
        <w:rPr>
          <w:rFonts w:ascii="Arial" w:hAnsi="Arial" w:cs="Arial"/>
          <w:color w:val="1D5296"/>
          <w:sz w:val="15"/>
          <w:szCs w:val="15"/>
        </w:rPr>
        <w:t xml:space="preserve"> is home to more than 3,700 listed companies with a market value of approximately $10.0 trillion and approximately 18,000 corporate clients. To learn more, visit: </w:t>
      </w:r>
      <w:hyperlink r:id="rId24" w:history="1">
        <w:r>
          <w:rPr>
            <w:rStyle w:val="Hyperlink"/>
            <w:rFonts w:ascii="Arial" w:hAnsi="Arial" w:cs="Arial"/>
            <w:sz w:val="15"/>
            <w:szCs w:val="15"/>
          </w:rPr>
          <w:t>www.nasdaq.com/ambition</w:t>
        </w:r>
      </w:hyperlink>
      <w:r>
        <w:rPr>
          <w:rFonts w:ascii="Arial" w:hAnsi="Arial" w:cs="Arial"/>
          <w:color w:val="1D5296"/>
          <w:sz w:val="15"/>
          <w:szCs w:val="15"/>
        </w:rPr>
        <w:t xml:space="preserve"> or </w:t>
      </w:r>
      <w:hyperlink r:id="rId25" w:history="1">
        <w:r>
          <w:rPr>
            <w:rStyle w:val="Hyperlink"/>
            <w:rFonts w:ascii="Arial" w:hAnsi="Arial" w:cs="Arial"/>
            <w:sz w:val="15"/>
            <w:szCs w:val="15"/>
          </w:rPr>
          <w:t>business.nasdaq.com</w:t>
        </w:r>
      </w:hyperlink>
      <w:r>
        <w:rPr>
          <w:rFonts w:ascii="Arial" w:hAnsi="Arial" w:cs="Arial"/>
          <w:color w:val="1D5296"/>
          <w:sz w:val="15"/>
          <w:szCs w:val="15"/>
        </w:rPr>
        <w:t>.</w:t>
      </w:r>
    </w:p>
    <w:p w:rsidR="00C03B32" w:rsidRDefault="00AA22F7" w:rsidP="00C03B32">
      <w:pPr>
        <w:spacing w:before="100" w:beforeAutospacing="1" w:after="150"/>
        <w:rPr>
          <w:rFonts w:ascii="Arial" w:hAnsi="Arial" w:cs="Arial"/>
          <w:color w:val="1D5296"/>
          <w:sz w:val="18"/>
          <w:szCs w:val="18"/>
        </w:rPr>
      </w:pPr>
      <w:hyperlink r:id="rId26" w:history="1">
        <w:r w:rsidR="00C03B32">
          <w:rPr>
            <w:rStyle w:val="Hyperlink"/>
            <w:rFonts w:ascii="Arial" w:hAnsi="Arial" w:cs="Arial"/>
            <w:b/>
            <w:bCs/>
            <w:sz w:val="18"/>
            <w:szCs w:val="18"/>
          </w:rPr>
          <w:t>View NASDAQTrader.com Mobile</w:t>
        </w:r>
      </w:hyperlink>
    </w:p>
    <w:p w:rsidR="00B7079F" w:rsidRDefault="00AA22F7"/>
    <w:sectPr w:rsidR="00B7079F">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B91" w:rsidRDefault="00E91B91" w:rsidP="00E91B91">
      <w:r>
        <w:separator/>
      </w:r>
    </w:p>
  </w:endnote>
  <w:endnote w:type="continuationSeparator" w:id="0">
    <w:p w:rsidR="00E91B91" w:rsidRDefault="00E91B91" w:rsidP="00E9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B91" w:rsidRDefault="00E91B91" w:rsidP="00E91B91">
      <w:r>
        <w:separator/>
      </w:r>
    </w:p>
  </w:footnote>
  <w:footnote w:type="continuationSeparator" w:id="0">
    <w:p w:rsidR="00E91B91" w:rsidRDefault="00E91B91" w:rsidP="00E91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F7" w:rsidRPr="00AA22F7" w:rsidRDefault="00AA22F7">
    <w:pPr>
      <w:pStyle w:val="Header"/>
      <w:rPr>
        <w:b/>
        <w:u w:val="single"/>
      </w:rPr>
    </w:pPr>
    <w:r>
      <w:tab/>
    </w:r>
    <w:r w:rsidRPr="00AA22F7">
      <w:rPr>
        <w:b/>
        <w:u w:val="single"/>
      </w:rPr>
      <w:t>Exhibit 6 to SR-NFX-2018-18</w:t>
    </w:r>
  </w:p>
  <w:p w:rsidR="00E91B91" w:rsidRDefault="00E91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32"/>
    <w:rsid w:val="0020389B"/>
    <w:rsid w:val="00212C09"/>
    <w:rsid w:val="0034645B"/>
    <w:rsid w:val="0035613D"/>
    <w:rsid w:val="003E0046"/>
    <w:rsid w:val="00412AA7"/>
    <w:rsid w:val="00474537"/>
    <w:rsid w:val="005434DF"/>
    <w:rsid w:val="00567712"/>
    <w:rsid w:val="005D5CAF"/>
    <w:rsid w:val="00622408"/>
    <w:rsid w:val="007C1A4B"/>
    <w:rsid w:val="008420F9"/>
    <w:rsid w:val="009C4DDA"/>
    <w:rsid w:val="00A44858"/>
    <w:rsid w:val="00AA22F7"/>
    <w:rsid w:val="00C03B32"/>
    <w:rsid w:val="00D1796E"/>
    <w:rsid w:val="00D2566C"/>
    <w:rsid w:val="00D836E8"/>
    <w:rsid w:val="00E36BE7"/>
    <w:rsid w:val="00E76E22"/>
    <w:rsid w:val="00E91B91"/>
    <w:rsid w:val="00F3159F"/>
    <w:rsid w:val="00F5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F19FD78-5620-407B-805F-5290F892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B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B32"/>
    <w:rPr>
      <w:color w:val="0563C1"/>
      <w:u w:val="single"/>
    </w:rPr>
  </w:style>
  <w:style w:type="paragraph" w:styleId="NormalWeb">
    <w:name w:val="Normal (Web)"/>
    <w:basedOn w:val="Normal"/>
    <w:uiPriority w:val="99"/>
    <w:semiHidden/>
    <w:unhideWhenUsed/>
    <w:rsid w:val="00E36BE7"/>
    <w:pPr>
      <w:spacing w:before="100" w:beforeAutospacing="1" w:after="100" w:afterAutospacing="1"/>
    </w:pPr>
    <w:rPr>
      <w:rFonts w:eastAsia="Times New Roman"/>
    </w:rPr>
  </w:style>
  <w:style w:type="character" w:styleId="Strong">
    <w:name w:val="Strong"/>
    <w:basedOn w:val="DefaultParagraphFont"/>
    <w:uiPriority w:val="22"/>
    <w:qFormat/>
    <w:rsid w:val="00E36BE7"/>
    <w:rPr>
      <w:b/>
      <w:bCs/>
    </w:rPr>
  </w:style>
  <w:style w:type="paragraph" w:styleId="Header">
    <w:name w:val="header"/>
    <w:basedOn w:val="Normal"/>
    <w:link w:val="HeaderChar"/>
    <w:uiPriority w:val="99"/>
    <w:unhideWhenUsed/>
    <w:rsid w:val="00E91B91"/>
    <w:pPr>
      <w:tabs>
        <w:tab w:val="center" w:pos="4680"/>
        <w:tab w:val="right" w:pos="9360"/>
      </w:tabs>
    </w:pPr>
  </w:style>
  <w:style w:type="character" w:customStyle="1" w:styleId="HeaderChar">
    <w:name w:val="Header Char"/>
    <w:basedOn w:val="DefaultParagraphFont"/>
    <w:link w:val="Header"/>
    <w:uiPriority w:val="99"/>
    <w:rsid w:val="00E91B91"/>
    <w:rPr>
      <w:rFonts w:ascii="Times New Roman" w:hAnsi="Times New Roman" w:cs="Times New Roman"/>
      <w:sz w:val="24"/>
      <w:szCs w:val="24"/>
    </w:rPr>
  </w:style>
  <w:style w:type="paragraph" w:styleId="Footer">
    <w:name w:val="footer"/>
    <w:basedOn w:val="Normal"/>
    <w:link w:val="FooterChar"/>
    <w:uiPriority w:val="99"/>
    <w:unhideWhenUsed/>
    <w:rsid w:val="00E91B91"/>
    <w:pPr>
      <w:tabs>
        <w:tab w:val="center" w:pos="4680"/>
        <w:tab w:val="right" w:pos="9360"/>
      </w:tabs>
    </w:pPr>
  </w:style>
  <w:style w:type="character" w:customStyle="1" w:styleId="FooterChar">
    <w:name w:val="Footer Char"/>
    <w:basedOn w:val="DefaultParagraphFont"/>
    <w:link w:val="Footer"/>
    <w:uiPriority w:val="99"/>
    <w:rsid w:val="00E91B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2885">
      <w:bodyDiv w:val="1"/>
      <w:marLeft w:val="0"/>
      <w:marRight w:val="0"/>
      <w:marTop w:val="0"/>
      <w:marBottom w:val="0"/>
      <w:divBdr>
        <w:top w:val="none" w:sz="0" w:space="0" w:color="auto"/>
        <w:left w:val="none" w:sz="0" w:space="0" w:color="auto"/>
        <w:bottom w:val="none" w:sz="0" w:space="0" w:color="auto"/>
        <w:right w:val="none" w:sz="0" w:space="0" w:color="auto"/>
      </w:divBdr>
    </w:div>
    <w:div w:id="1243102132">
      <w:bodyDiv w:val="1"/>
      <w:marLeft w:val="0"/>
      <w:marRight w:val="0"/>
      <w:marTop w:val="0"/>
      <w:marBottom w:val="0"/>
      <w:divBdr>
        <w:top w:val="none" w:sz="0" w:space="0" w:color="auto"/>
        <w:left w:val="none" w:sz="0" w:space="0" w:color="auto"/>
        <w:bottom w:val="none" w:sz="0" w:space="0" w:color="auto"/>
        <w:right w:val="none" w:sz="0" w:space="0" w:color="auto"/>
      </w:divBdr>
    </w:div>
    <w:div w:id="15879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uturesreg@nasdaq.com" TargetMode="External"/><Relationship Id="rId18" Type="http://schemas.openxmlformats.org/officeDocument/2006/relationships/image" Target="media/image2.gif"/><Relationship Id="rId26" Type="http://schemas.openxmlformats.org/officeDocument/2006/relationships/hyperlink" Target="http://m.nasdaqomxtrader.com/HomePageM.aspx" TargetMode="External"/><Relationship Id="rId3" Type="http://schemas.openxmlformats.org/officeDocument/2006/relationships/webSettings" Target="webSettings.xml"/><Relationship Id="rId21" Type="http://schemas.openxmlformats.org/officeDocument/2006/relationships/hyperlink" Target="http://www.nasdaqtrader.com/Trader.aspx?id=NewsRSS" TargetMode="External"/><Relationship Id="rId7" Type="http://schemas.openxmlformats.org/officeDocument/2006/relationships/hyperlink" Target="http://www.nasdaqtrader.com/MicroNews.aspx?id=FTA2016-40" TargetMode="External"/><Relationship Id="rId12" Type="http://schemas.openxmlformats.org/officeDocument/2006/relationships/hyperlink" Target="mailto:nfxsales@nasdaq.com" TargetMode="External"/><Relationship Id="rId17" Type="http://schemas.openxmlformats.org/officeDocument/2006/relationships/hyperlink" Target="mailto:Nfxops@nasdaq.com" TargetMode="External"/><Relationship Id="rId25" Type="http://schemas.openxmlformats.org/officeDocument/2006/relationships/hyperlink" Target="http://www.globenewswire.com/Tracker?data=vvhRR1gJsrIqdBRkQMm3CCPO6AwgXC4NA-zDaRoQXcVudVMDhJkRARGj4Z9t9qMRqrKsz8rI0kyBP7Aqf3ljAkAdVW9mpZG6VY2YQnaSpHA=" TargetMode="External"/><Relationship Id="rId33"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http://www.theocc.com/"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ales@nasdaqomx.com" TargetMode="External"/><Relationship Id="rId24" Type="http://schemas.openxmlformats.org/officeDocument/2006/relationships/hyperlink" Target="http://www.nasdaq.com/ambition" TargetMode="External"/><Relationship Id="rId32"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mailto:Nfxops@nasdaq.com" TargetMode="External"/><Relationship Id="rId23" Type="http://schemas.openxmlformats.org/officeDocument/2006/relationships/hyperlink" Target="http://twitter.com/NASDAQOMX" TargetMode="External"/><Relationship Id="rId28" Type="http://schemas.openxmlformats.org/officeDocument/2006/relationships/fontTable" Target="fontTable.xml"/><Relationship Id="rId10" Type="http://schemas.openxmlformats.org/officeDocument/2006/relationships/hyperlink" Target="mailto:tradingservices@nasdaqomx.com" TargetMode="External"/><Relationship Id="rId19" Type="http://schemas.openxmlformats.org/officeDocument/2006/relationships/hyperlink" Target="http://www.facebook.com/NASDAQ" TargetMode="External"/><Relationship Id="rId31"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mailto:tradingservices@nasdaqomx.com" TargetMode="External"/><Relationship Id="rId14" Type="http://schemas.openxmlformats.org/officeDocument/2006/relationships/hyperlink" Target="mailto:Nfxops@nasdaq.com" TargetMode="External"/><Relationship Id="rId22" Type="http://schemas.openxmlformats.org/officeDocument/2006/relationships/image" Target="media/image4.gif"/><Relationship Id="rId27" Type="http://schemas.openxmlformats.org/officeDocument/2006/relationships/header" Target="header1.xml"/><Relationship Id="rId30" Type="http://schemas.openxmlformats.org/officeDocument/2006/relationships/customXml" Target="../customXml/item1.xml"/><Relationship Id="rId8" Type="http://schemas.openxmlformats.org/officeDocument/2006/relationships/hyperlink" Target="http://www.nasdaqtrader.com/Micro.aspx?id=nasdaqfuturesNQ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17bc4d58-77b9-4790-a22e-4496e1b264c0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2018-07-02T18:36:34+00:00</Document_x0020_Date>
    <Document_x0020_No xmlns="4b47aac5-4c46-444f-8595-ce09b406fc61">40318</Document_x0020_No>
  </documentManagement>
</p:properties>
</file>

<file path=customXml/itemProps1.xml><?xml version="1.0" encoding="utf-8"?>
<ds:datastoreItem xmlns:ds="http://schemas.openxmlformats.org/officeDocument/2006/customXml" ds:itemID="{0F16043E-6FCC-4210-833F-1272BB570033}"/>
</file>

<file path=customXml/itemProps2.xml><?xml version="1.0" encoding="utf-8"?>
<ds:datastoreItem xmlns:ds="http://schemas.openxmlformats.org/officeDocument/2006/customXml" ds:itemID="{B589DC43-AF2F-4C0E-BCBD-82B765B85D18}"/>
</file>

<file path=customXml/itemProps3.xml><?xml version="1.0" encoding="utf-8"?>
<ds:datastoreItem xmlns:ds="http://schemas.openxmlformats.org/officeDocument/2006/customXml" ds:itemID="{C3C02AB0-BF06-4AC6-97CF-EE7A93D8A069}"/>
</file>

<file path=customXml/itemProps4.xml><?xml version="1.0" encoding="utf-8"?>
<ds:datastoreItem xmlns:ds="http://schemas.openxmlformats.org/officeDocument/2006/customXml" ds:itemID="{C3E81165-F8F4-4629-ABAC-2BC2B35E04E7}"/>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6</dc:title>
  <dc:subject/>
  <dc:creator>Daniel Carrigan</dc:creator>
  <cp:keywords/>
  <dc:description/>
  <cp:lastModifiedBy>Carla Behnfeldt</cp:lastModifiedBy>
  <cp:revision>3</cp:revision>
  <cp:lastPrinted>2018-06-26T20:43:00Z</cp:lastPrinted>
  <dcterms:created xsi:type="dcterms:W3CDTF">2018-06-29T21:16:00Z</dcterms:created>
  <dcterms:modified xsi:type="dcterms:W3CDTF">2018-06-29T21:17:00Z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5638100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