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568ea98f-35e4-4ffb-919d-25f03eeca4ef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2017-08-07T21:19:04+00:00</Document_x0020_Date>
    <Document_x0020_No xmlns="4b47aac5-4c46-444f-8595-ce09b406fc61">32374</Document_x0020_No>
  </documentManagement>
</p:properties>
</file>

<file path=customXml/itemProps1.xml><?xml version="1.0" encoding="utf-8"?>
<ds:datastoreItem xmlns:ds="http://schemas.openxmlformats.org/officeDocument/2006/customXml" ds:itemID="{E69DBA3C-DC5A-4C67-B29F-515606D4D54F}"/>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3B59BAF2-7F20-4C3E-A172-D6CCA22D6AC5}"/>
</file>

<file path=customXml/itemProps4.xml><?xml version="1.0" encoding="utf-8"?>
<ds:datastoreItem xmlns:ds="http://schemas.openxmlformats.org/officeDocument/2006/customXml" ds:itemID="{94D10DF7-FE6D-4C08-A385-CC2377755173}"/>
</file>

<file path=customXml/itemProps5.xml><?xml version="1.0" encoding="utf-8"?>
<ds:datastoreItem xmlns:ds="http://schemas.openxmlformats.org/officeDocument/2006/customXml" ds:itemID="{953497F0-13C6-4536-836B-11AA216B6C15}"/>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4112300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