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07" w:rsidRPr="006B0747" w:rsidRDefault="001D3D07" w:rsidP="001D3D07">
      <w:pPr>
        <w:spacing w:before="100" w:beforeAutospacing="1" w:after="100" w:afterAutospacing="1" w:line="240" w:lineRule="auto"/>
        <w:outlineLvl w:val="2"/>
        <w:rPr>
          <w:rFonts w:ascii="Times New Roman" w:eastAsia="Times New Roman" w:hAnsi="Times New Roman" w:cs="Times New Roman"/>
          <w:b/>
          <w:bCs/>
          <w:sz w:val="24"/>
          <w:szCs w:val="24"/>
        </w:rPr>
      </w:pPr>
      <w:r w:rsidRPr="006B0747">
        <w:rPr>
          <w:rFonts w:ascii="Times New Roman" w:eastAsia="Times New Roman" w:hAnsi="Times New Roman" w:cs="Times New Roman"/>
          <w:b/>
          <w:bCs/>
          <w:sz w:val="24"/>
          <w:szCs w:val="24"/>
        </w:rPr>
        <w:t>Rulebook Appendix A - Listed Contracts</w:t>
      </w:r>
    </w:p>
    <w:p w:rsidR="001D3D07" w:rsidRPr="006B0747" w:rsidRDefault="001D3D07" w:rsidP="001D3D07">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B0747">
        <w:rPr>
          <w:rFonts w:ascii="Times New Roman" w:eastAsia="Times New Roman" w:hAnsi="Times New Roman" w:cs="Times New Roman"/>
          <w:bCs/>
          <w:sz w:val="24"/>
          <w:szCs w:val="24"/>
        </w:rPr>
        <w:t>* * * * *</w:t>
      </w:r>
    </w:p>
    <w:tbl>
      <w:tblPr>
        <w:tblStyle w:val="TableGrid"/>
        <w:tblW w:w="0" w:type="auto"/>
        <w:tblInd w:w="-72" w:type="dxa"/>
        <w:tblCellMar>
          <w:top w:w="72" w:type="dxa"/>
          <w:left w:w="115" w:type="dxa"/>
          <w:bottom w:w="72" w:type="dxa"/>
          <w:right w:w="115" w:type="dxa"/>
        </w:tblCellMar>
        <w:tblLook w:val="04A0" w:firstRow="1" w:lastRow="0" w:firstColumn="1" w:lastColumn="0" w:noHBand="0" w:noVBand="1"/>
      </w:tblPr>
      <w:tblGrid>
        <w:gridCol w:w="1705"/>
        <w:gridCol w:w="7717"/>
      </w:tblGrid>
      <w:tr w:rsidR="001D3D07" w:rsidRPr="006B0747" w:rsidTr="00D313C7">
        <w:tc>
          <w:tcPr>
            <w:tcW w:w="1705" w:type="dxa"/>
          </w:tcPr>
          <w:p w:rsidR="001D3D07" w:rsidRPr="006B0747" w:rsidRDefault="001D3D07" w:rsidP="00D313C7">
            <w:pPr>
              <w:jc w:val="both"/>
              <w:rPr>
                <w:b/>
                <w:sz w:val="24"/>
                <w:szCs w:val="24"/>
              </w:rPr>
            </w:pPr>
            <w:r w:rsidRPr="006B0747">
              <w:rPr>
                <w:b/>
                <w:sz w:val="24"/>
                <w:szCs w:val="24"/>
              </w:rPr>
              <w:t>CHAPTER</w:t>
            </w:r>
          </w:p>
        </w:tc>
        <w:tc>
          <w:tcPr>
            <w:tcW w:w="7717" w:type="dxa"/>
          </w:tcPr>
          <w:p w:rsidR="001D3D07" w:rsidRPr="006B0747" w:rsidRDefault="001D3D07" w:rsidP="00D313C7">
            <w:pPr>
              <w:jc w:val="both"/>
              <w:rPr>
                <w:b/>
                <w:sz w:val="24"/>
                <w:szCs w:val="24"/>
              </w:rPr>
            </w:pPr>
            <w:r w:rsidRPr="006B0747">
              <w:rPr>
                <w:b/>
                <w:sz w:val="24"/>
                <w:szCs w:val="24"/>
              </w:rPr>
              <w:t>PRODUCT NAME AND SYMBOL</w:t>
            </w: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OIL AND REFINED PRODUCTS – No Change</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 xml:space="preserve">NATURAL GAS PRODUCTS – No Change </w:t>
            </w:r>
          </w:p>
        </w:tc>
      </w:tr>
      <w:tr w:rsidR="001D3D07" w:rsidRPr="006B0747" w:rsidTr="00D313C7">
        <w:tc>
          <w:tcPr>
            <w:tcW w:w="1705" w:type="dxa"/>
          </w:tcPr>
          <w:p w:rsidR="001D3D07" w:rsidRPr="006B0747" w:rsidRDefault="001D3D07" w:rsidP="00D313C7">
            <w:pPr>
              <w:jc w:val="both"/>
              <w:rPr>
                <w:sz w:val="24"/>
                <w:szCs w:val="24"/>
              </w:rPr>
            </w:pPr>
          </w:p>
        </w:tc>
        <w:tc>
          <w:tcPr>
            <w:tcW w:w="7717" w:type="dxa"/>
          </w:tcPr>
          <w:p w:rsidR="001D3D07" w:rsidRPr="006B0747" w:rsidRDefault="001D3D07" w:rsidP="00D313C7">
            <w:pPr>
              <w:jc w:val="both"/>
              <w:rPr>
                <w:sz w:val="24"/>
                <w:szCs w:val="24"/>
              </w:rPr>
            </w:pPr>
          </w:p>
        </w:tc>
      </w:tr>
      <w:tr w:rsidR="001D3D07" w:rsidRPr="006B0747" w:rsidTr="00D313C7">
        <w:tc>
          <w:tcPr>
            <w:tcW w:w="1705" w:type="dxa"/>
          </w:tcPr>
          <w:p w:rsidR="001D3D07" w:rsidRPr="006B0747" w:rsidRDefault="001D3D07" w:rsidP="00D313C7">
            <w:pPr>
              <w:jc w:val="both"/>
              <w:rPr>
                <w:b/>
                <w:sz w:val="24"/>
                <w:szCs w:val="24"/>
              </w:rPr>
            </w:pPr>
          </w:p>
        </w:tc>
        <w:tc>
          <w:tcPr>
            <w:tcW w:w="7717" w:type="dxa"/>
          </w:tcPr>
          <w:p w:rsidR="001D3D07" w:rsidRPr="006B0747" w:rsidRDefault="001D3D07" w:rsidP="00D313C7">
            <w:pPr>
              <w:jc w:val="both"/>
              <w:rPr>
                <w:b/>
                <w:sz w:val="24"/>
                <w:szCs w:val="24"/>
              </w:rPr>
            </w:pPr>
            <w:r w:rsidRPr="006B0747">
              <w:rPr>
                <w:b/>
                <w:sz w:val="24"/>
                <w:szCs w:val="24"/>
              </w:rPr>
              <w:t>POWER CONTRACTS</w:t>
            </w:r>
          </w:p>
        </w:tc>
      </w:tr>
      <w:tr w:rsidR="001D3D07" w:rsidRPr="006B0747" w:rsidTr="00D313C7">
        <w:tc>
          <w:tcPr>
            <w:tcW w:w="1705" w:type="dxa"/>
          </w:tcPr>
          <w:p w:rsidR="001D3D07" w:rsidRPr="006B0747" w:rsidRDefault="001D3D07" w:rsidP="00D313C7">
            <w:pPr>
              <w:jc w:val="center"/>
              <w:rPr>
                <w:sz w:val="24"/>
                <w:szCs w:val="24"/>
              </w:rPr>
            </w:pPr>
            <w:r w:rsidRPr="006B0747">
              <w:rPr>
                <w:sz w:val="24"/>
                <w:szCs w:val="24"/>
              </w:rPr>
              <w:t>*****</w:t>
            </w:r>
          </w:p>
        </w:tc>
        <w:tc>
          <w:tcPr>
            <w:tcW w:w="7717" w:type="dxa"/>
          </w:tcPr>
          <w:p w:rsidR="001D3D07" w:rsidRPr="006B0747" w:rsidRDefault="001D3D07" w:rsidP="00D313C7">
            <w:pPr>
              <w:jc w:val="center"/>
              <w:rPr>
                <w:bCs/>
                <w:color w:val="000000"/>
                <w:sz w:val="24"/>
                <w:szCs w:val="24"/>
              </w:rPr>
            </w:pPr>
            <w:r w:rsidRPr="006B0747">
              <w:rPr>
                <w:bCs/>
                <w:color w:val="000000"/>
                <w:sz w:val="24"/>
                <w:szCs w:val="24"/>
              </w:rPr>
              <w:t>*****</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Financial Futures (BGEQ)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- 5MW (BGYQ)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Peak Mini Financial Futures - 1MW (BGAQ)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Financial Futures (BGOQ)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- 25MWh (BGBQ)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- 5MWh (BGZQ)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BGE Zone Day-Ahead Off-Peak Mini Financial Futures - 1MWh (OBBQ)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Financial Futures (PPLQ)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- 5MW (PPXQ)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Peak Mini Financial Futures - 1MW (PPAQ)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Financial Futures (PPMQ)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- 25MWh (PPVQ)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- 5MWh (PPOQ)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PPL Zone Day-Ahead Off-Peak Mini Financial Futures - 1MWh (PPBQ)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Financial Futures (DEFQ)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- 5MW (DEIQ)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359B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Peak Mini Financial Futures - 1MW (DEOQ)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Financial Futures (DNFQ)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- 25MWh (DNTQ)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- 5MWh (DNIQ)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360C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ComEd Zone Day-Ahead Off-Peak Mini Financial Futures - 1MWh (DNOQ)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Financial Futures (YOFQ)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- 5MW (YOIQ)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361B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Peak Mini Financial Futures - 1MW (YOOQ)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Financial Futures (XOFQ)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- 25MWh (XOTQ)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- 5MWh (XOIQ)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362C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AECO Zone Day-Ahead Off-Peak Mini Financial Futures - 1MWh (XOOQ)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Financial Futures (PFNQ)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- 5MW (PFIQ)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363B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Peak Mini Financial Futures - 1MW (PFOQ)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Financial Futures (PFFQ)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- 25MWh (PFTQ)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- 5MWh (PFVQ)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364C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FE-Ohio Day-Ahead Off-Peak Mini Financial Futures - 1MWh (PFEQ)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Financial Futures (FSFQ)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- 5MW (FSIQ)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365B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Peak Mini Financial Futures - 1MW (FSOQ)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Financial Futures (FIFQ)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- 25MWh (FITQ)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- 5MWh (FIIQ)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366C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PJM METED Zone Day-Ahead Off-Peak Mini Financial Futures - 1MWh (FIOQ)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Financial Futures (ICPQ)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- 5MW (ICFQ)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367B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Peak Mini Financial Futures - 1MW (ICNQ)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Financial Futures (ICOQ)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368A</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- 25MWh (ICTQ)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368B</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- 5MWh (ICIQ)</w:t>
            </w:r>
          </w:p>
        </w:tc>
      </w:tr>
      <w:tr w:rsidR="001D3D07" w:rsidRPr="006B0747" w:rsidTr="00D313C7">
        <w:tc>
          <w:tcPr>
            <w:tcW w:w="1705" w:type="dxa"/>
            <w:hideMark/>
          </w:tcPr>
          <w:p w:rsidR="001D3D07" w:rsidRPr="006B0747" w:rsidRDefault="001D3D07" w:rsidP="00D313C7">
            <w:pPr>
              <w:rPr>
                <w:sz w:val="24"/>
                <w:szCs w:val="24"/>
                <w:u w:val="single"/>
              </w:rPr>
            </w:pPr>
            <w:r w:rsidRPr="006B0747">
              <w:rPr>
                <w:color w:val="000000"/>
                <w:sz w:val="24"/>
                <w:szCs w:val="24"/>
                <w:u w:val="single"/>
              </w:rPr>
              <w:t>368C</w:t>
            </w:r>
          </w:p>
        </w:tc>
        <w:tc>
          <w:tcPr>
            <w:tcW w:w="7712" w:type="dxa"/>
            <w:hideMark/>
          </w:tcPr>
          <w:p w:rsidR="001D3D07" w:rsidRPr="006B0747" w:rsidRDefault="001D3D07" w:rsidP="00D313C7">
            <w:pPr>
              <w:rPr>
                <w:sz w:val="24"/>
                <w:szCs w:val="24"/>
                <w:u w:val="single"/>
              </w:rPr>
            </w:pPr>
            <w:r w:rsidRPr="006B0747">
              <w:rPr>
                <w:color w:val="000000"/>
                <w:sz w:val="24"/>
                <w:szCs w:val="24"/>
                <w:u w:val="single"/>
              </w:rPr>
              <w:t>NFX ISO-NE Connecticut Zone Day-Ahead Off-Peak Mini Financial Futures - 1MWh (ICEQ)</w:t>
            </w:r>
          </w:p>
        </w:tc>
      </w:tr>
    </w:tbl>
    <w:p w:rsidR="001D3D07" w:rsidRPr="006B0747" w:rsidRDefault="001D3D07" w:rsidP="001D3D07">
      <w:pPr>
        <w:spacing w:after="240" w:line="240" w:lineRule="auto"/>
        <w:rPr>
          <w:rFonts w:ascii="Times New Roman" w:hAnsi="Times New Roman" w:cs="Times New Roman"/>
          <w:b/>
          <w:sz w:val="24"/>
          <w:szCs w:val="24"/>
        </w:rPr>
      </w:pPr>
    </w:p>
    <w:p w:rsidR="001D3D07" w:rsidRPr="006B0747" w:rsidRDefault="001D3D07" w:rsidP="001D3D07">
      <w:pPr>
        <w:spacing w:line="240" w:lineRule="auto"/>
        <w:contextualSpacing/>
        <w:jc w:val="center"/>
        <w:rPr>
          <w:rFonts w:ascii="Times New Roman" w:hAnsi="Times New Roman" w:cs="Times New Roman"/>
          <w:sz w:val="24"/>
          <w:szCs w:val="24"/>
        </w:rPr>
      </w:pPr>
      <w:r w:rsidRPr="006B0747">
        <w:rPr>
          <w:rFonts w:ascii="Times New Roman" w:hAnsi="Times New Roman" w:cs="Times New Roman"/>
          <w:sz w:val="24"/>
          <w:szCs w:val="24"/>
        </w:rPr>
        <w:t>*****</w:t>
      </w:r>
    </w:p>
    <w:p w:rsidR="001D3D07" w:rsidRPr="006B0747" w:rsidRDefault="001D3D07" w:rsidP="001D3D07">
      <w:pPr>
        <w:spacing w:after="240" w:line="240" w:lineRule="auto"/>
        <w:rPr>
          <w:rFonts w:ascii="Times New Roman" w:hAnsi="Times New Roman" w:cs="Times New Roman"/>
          <w:b/>
          <w:sz w:val="24"/>
          <w:szCs w:val="24"/>
        </w:rPr>
      </w:pP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 NFX PJM BGE Zone Day-Ahead Peak Financial Futures (BGEQ)</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355.01 Unit of Trading</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355.02 Contract Months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355.03 Prices and Minimum Increments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355.04 Last Trading Day</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355.05 Final Settlement Date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355.06 Final and Daily Settlement and Settlement Prices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355.07 Trading Algorithm</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355.08 Block Trade Minimum Quantity Threshold and Reporting Window</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355.09 Order Price Limit Protection</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355.10 Non-Reviewable Range</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07BD8" w:rsidRPr="006B0747" w:rsidRDefault="00307BD8" w:rsidP="00307BD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355.11 Disclaimer</w:t>
      </w:r>
    </w:p>
    <w:p w:rsidR="00307BD8" w:rsidRPr="006B0747" w:rsidRDefault="00307BD8" w:rsidP="00307BD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07BD8" w:rsidRPr="006B0747" w:rsidRDefault="00307BD8" w:rsidP="00307BD8">
      <w:pPr>
        <w:spacing w:after="240" w:line="240" w:lineRule="auto"/>
        <w:rPr>
          <w:rFonts w:ascii="Times New Roman" w:hAnsi="Times New Roman" w:cs="Times New Roman"/>
          <w:u w:val="single"/>
        </w:rPr>
      </w:pP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355A NFX PJM BGE Zone Day-Ahead Peak Mini Financial Futures - 5MW (BGYQ)</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355A.01 Unit of Trading</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355A.02 Contract Months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355A.03 Prices and Minimum Increments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355A.04 Last Trading Day</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355A.05 Final Settlement Date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355A.06 Final and Daily Settlement and Settlement Prices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355A.07 Trading Algorithm</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355A.08 Block Trade Minimum Quantity Threshold and Reporting Window</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355A.09 Order Price Limit Protection</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355A.10 Non-Reviewable Range</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D5617" w:rsidRPr="006B0747" w:rsidRDefault="00DD5617" w:rsidP="00DD561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355A.11 Disclaimer</w:t>
      </w:r>
    </w:p>
    <w:p w:rsidR="00DD5617" w:rsidRPr="006B0747" w:rsidRDefault="00DD5617" w:rsidP="00DD561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D5617" w:rsidRPr="006B0747" w:rsidRDefault="00DD5617" w:rsidP="00DD5617">
      <w:pPr>
        <w:spacing w:after="240" w:line="240" w:lineRule="auto"/>
        <w:rPr>
          <w:rFonts w:ascii="Times New Roman" w:hAnsi="Times New Roman" w:cs="Times New Roman"/>
          <w:u w:val="single"/>
        </w:rPr>
      </w:pP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355B NFX PJM BGE Zone</w:t>
      </w:r>
      <w:r w:rsidR="00A3701F" w:rsidRPr="006B0747">
        <w:rPr>
          <w:rFonts w:ascii="Times New Roman" w:hAnsi="Times New Roman" w:cs="Times New Roman"/>
          <w:b/>
          <w:u w:val="single"/>
        </w:rPr>
        <w:t xml:space="preserve"> Day-Ahead Peak Mini Financial</w:t>
      </w:r>
      <w:r w:rsidR="00D313C7" w:rsidRPr="006B0747">
        <w:rPr>
          <w:rFonts w:ascii="Times New Roman" w:hAnsi="Times New Roman" w:cs="Times New Roman"/>
          <w:b/>
          <w:u w:val="single"/>
        </w:rPr>
        <w:t xml:space="preserve"> </w:t>
      </w:r>
      <w:r w:rsidRPr="006B0747">
        <w:rPr>
          <w:rFonts w:ascii="Times New Roman" w:hAnsi="Times New Roman" w:cs="Times New Roman"/>
          <w:b/>
          <w:u w:val="single"/>
        </w:rPr>
        <w:t>Futures - 1MW (BGAQ)</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355B.01 Unit of Trading</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355B.02 Contract Months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355B.03 Prices and Minimum Increments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355B.04 Last Trading Day</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355B.05 Final Settlement Date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355B.06 Final and Daily Settlement and Settlement Prices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BGE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355B.07 Trading Algorithm</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355B.08 Block Trade Minimum Quantity Threshold and Reporting Window</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355B.09 Order Price Limit Protection</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355B.10 Non-Reviewable Range</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66734" w:rsidRPr="006B0747" w:rsidRDefault="00966734" w:rsidP="0096673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355B.11 Disclaimer</w:t>
      </w:r>
    </w:p>
    <w:p w:rsidR="00966734" w:rsidRPr="006B0747" w:rsidRDefault="00966734" w:rsidP="0096673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66734" w:rsidRPr="006B0747" w:rsidRDefault="00966734" w:rsidP="00966734">
      <w:pPr>
        <w:spacing w:after="240" w:line="240" w:lineRule="auto"/>
        <w:rPr>
          <w:rFonts w:ascii="Times New Roman" w:hAnsi="Times New Roman" w:cs="Times New Roman"/>
          <w:u w:val="single"/>
        </w:rPr>
      </w:pP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 NFX PJM BGE Zone Day-Ahead Off-Peak Financial Futures (BGOQ)</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356.01 Unit of Trading</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356.02 Contract Months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356.03 Prices and Minimum Increments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356.04 Last Trading Day</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356.05 Final Settlement Date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356.06 Final and Daily Settlement and Settlement Prices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356.07 Trading Algorithm</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356.08 Block Trade Minimum Quantity Threshold and Reporting Window</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356.09 Order Price Limit Protection</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356.10 Non-Reviewable Range</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A7DC6" w:rsidRPr="006B0747" w:rsidRDefault="006A7DC6" w:rsidP="006A7DC6">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356.11 Disclaimer</w:t>
      </w:r>
    </w:p>
    <w:p w:rsidR="006A7DC6" w:rsidRPr="006B0747" w:rsidRDefault="006A7DC6" w:rsidP="006A7DC6">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A7DC6" w:rsidRPr="006B0747" w:rsidRDefault="006A7DC6" w:rsidP="006A7DC6">
      <w:pPr>
        <w:spacing w:after="240" w:line="240" w:lineRule="auto"/>
        <w:rPr>
          <w:rFonts w:ascii="Times New Roman" w:hAnsi="Times New Roman" w:cs="Times New Roman"/>
          <w:u w:val="single"/>
        </w:rPr>
      </w:pP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356A NFX PJM BGE Zone Day-Ahead Off-Peak Mini Financial Futures - 25MWh (BGBQ)</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356A.01 Unit of Trading</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356A.02 Contract Months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356A.03 Prices and Minimum Increments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356A.04 Last Trading Day</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356A.05 Final Settlement Date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356A.06 Final and Daily Settlement and Settlement Prices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356A.07 Trading Algorithm</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356A.08 Block Trade Minimum Quantity Threshold and Reporting Window</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356A.09 Order Price Limit Protection</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356A.10 Non-Reviewable Range</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F0D2B" w:rsidRPr="006B0747" w:rsidRDefault="003F0D2B" w:rsidP="003F0D2B">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356A.11 Disclaimer</w:t>
      </w:r>
    </w:p>
    <w:p w:rsidR="003F0D2B" w:rsidRPr="006B0747" w:rsidRDefault="003F0D2B" w:rsidP="003F0D2B">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F0D2B" w:rsidRPr="006B0747" w:rsidRDefault="003F0D2B" w:rsidP="003F0D2B">
      <w:pPr>
        <w:spacing w:after="240" w:line="240" w:lineRule="auto"/>
        <w:rPr>
          <w:rFonts w:ascii="Times New Roman" w:hAnsi="Times New Roman" w:cs="Times New Roman"/>
          <w:u w:val="single"/>
        </w:rPr>
      </w:pP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356B NFX PJM BGE Zone Day-Ahead Off-Peak Mini Financial Futures - 5MWh (BGZQ)</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356B.01 Unit of Trading</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356B.02 Contract Months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356B.03 Prices and Minimum Increments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356B.04 Last Trading Day</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356B.05 Final Settlement Date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356B.06 Final and Daily Settlement and Settlement Prices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356B.07 Trading Algorithm</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356B.08 Block Trade Minimum Quantity Threshold and Reporting Window</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356B.09 Order Price Limit Protection</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356B.10 Non-Reviewable Range</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C62EA" w:rsidRPr="006B0747" w:rsidRDefault="00DC62EA" w:rsidP="00DC62E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356B.11 Disclaimer</w:t>
      </w:r>
    </w:p>
    <w:p w:rsidR="00DC62EA" w:rsidRPr="006B0747" w:rsidRDefault="00DC62EA" w:rsidP="00DC62E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C62EA" w:rsidRPr="006B0747" w:rsidRDefault="00DC62EA" w:rsidP="00DC62EA">
      <w:pPr>
        <w:spacing w:after="240" w:line="240" w:lineRule="auto"/>
        <w:rPr>
          <w:rFonts w:ascii="Times New Roman" w:hAnsi="Times New Roman" w:cs="Times New Roman"/>
          <w:u w:val="single"/>
        </w:rPr>
      </w:pP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356C NFX PJM BGE Zone Day-Ahead Off-Peak Mini Financial Futures - 1MWh (OBBQ)</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356C.01 Unit of Trading</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356C.02 Contract Months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356C.03 Prices and Minimum Increments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356C.04 Last Trading Day</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356C.05 Final Settlement Date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356C.06 Final and Daily Settlement and Settlement Prices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356C.07 Trading Algorithm</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356C.08 Block Trade Minimum Quantity Threshold and Reporting Window</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356C.09 Order Price Limit Protection</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356C.10 Non-Reviewable Range</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36EAF" w:rsidRPr="006B0747" w:rsidRDefault="00636EAF" w:rsidP="00636EA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356C.11 Disclaimer</w:t>
      </w:r>
    </w:p>
    <w:p w:rsidR="00636EAF" w:rsidRPr="006B0747" w:rsidRDefault="00636EAF" w:rsidP="00636EA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36EAF" w:rsidRPr="006B0747" w:rsidRDefault="00636EAF" w:rsidP="00636EAF">
      <w:pPr>
        <w:spacing w:after="240" w:line="240" w:lineRule="auto"/>
        <w:rPr>
          <w:rFonts w:ascii="Times New Roman" w:hAnsi="Times New Roman" w:cs="Times New Roman"/>
          <w:u w:val="single"/>
        </w:rPr>
      </w:pP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 NFX PJM PPL Zone Day-Ahead Peak Financial Futures (PPLQ)</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357.01 Unit of Trading</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357.02 Contract Months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357.03 Prices and Minimum Increments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$8.00 per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357.04 Last Trading Day</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357.05 Final Settlement Date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357.06 Final and Daily Settlement and Settlement Prices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357.07 Trading Algorithm</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357.08 Block Trade Minimum Quantity Threshold and Reporting Window</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357.09 Order Price Limit Protection</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357.10 Non-Reviewable Range</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27D35" w:rsidRPr="006B0747" w:rsidRDefault="00927D35" w:rsidP="00927D35">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357.11 Disclaimer</w:t>
      </w:r>
    </w:p>
    <w:p w:rsidR="00927D35" w:rsidRPr="006B0747" w:rsidRDefault="00927D35" w:rsidP="00927D35">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27D35" w:rsidRPr="006B0747" w:rsidRDefault="00927D35" w:rsidP="00927D35">
      <w:pPr>
        <w:spacing w:after="240" w:line="240" w:lineRule="auto"/>
        <w:rPr>
          <w:rFonts w:ascii="Times New Roman" w:hAnsi="Times New Roman" w:cs="Times New Roman"/>
          <w:u w:val="single"/>
        </w:rPr>
      </w:pP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357A NFX PJM PPL Zone Day-Ahead Peak Mini Financial Futures - 5MW (PPXQ)</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357A.01 Unit of Trading</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357A.02 Contract Months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357A.03 Prices and Minimum Increments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$0.80 per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357A.04 Last Trading Day</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357A.05 Final Settlement Date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357A.06 Final and Daily Settlement and Settlement Prices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357A.07 Trading Algorithm</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357A.08 Block Trade Minimum Quantity Threshold and Reporting Window</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357A.09 Order Price Limit Protection</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357A.10 Non-Reviewable Range</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A5657" w:rsidRPr="006B0747" w:rsidRDefault="00DA5657" w:rsidP="00DA565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357A.11 Disclaimer</w:t>
      </w:r>
    </w:p>
    <w:p w:rsidR="00DA5657" w:rsidRPr="006B0747" w:rsidRDefault="00DA5657" w:rsidP="00DA565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A5657" w:rsidRPr="006B0747" w:rsidRDefault="00DA5657" w:rsidP="00DA5657">
      <w:pPr>
        <w:spacing w:after="240" w:line="240" w:lineRule="auto"/>
        <w:rPr>
          <w:rFonts w:ascii="Times New Roman" w:hAnsi="Times New Roman" w:cs="Times New Roman"/>
          <w:u w:val="single"/>
        </w:rPr>
      </w:pP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357B NFX PJM PPL Zone Day-Ahead Peak Mini Financial Futures - 1MW (PPAQ)</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357B.01 Unit of Trading</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357B.02 Contract Months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357B.03 Prices and Minimum Increments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$0.16 per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357B.04 Last Trading Day</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357B.05 Final Settlement Date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357B.06 Final and Daily Settlement and Settlement Prices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PPL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357B.07 Trading Algorithm</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357B.08 Block Trade Minimum Quantity Threshold and Reporting Window</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357B.09 Order Price Limit Protection</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357B.10 Non-Reviewable Range</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887C70" w:rsidRPr="006B0747" w:rsidRDefault="00887C70" w:rsidP="00887C7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357B.11 Disclaimer</w:t>
      </w:r>
    </w:p>
    <w:p w:rsidR="00887C70" w:rsidRPr="006B0747" w:rsidRDefault="00887C70" w:rsidP="00887C7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887C70" w:rsidRPr="006B0747" w:rsidRDefault="00887C70" w:rsidP="00887C70">
      <w:pPr>
        <w:spacing w:after="240" w:line="240" w:lineRule="auto"/>
        <w:rPr>
          <w:rFonts w:ascii="Times New Roman" w:hAnsi="Times New Roman" w:cs="Times New Roman"/>
          <w:u w:val="single"/>
        </w:rPr>
      </w:pP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 NFX PJM PPL Zone Day-Ahead Off-Peak Financial Futures (PPMQ)</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358.01 Unit of Trading</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358.02 Contract Months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358.03 Prices and Minimum Increments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358.04 Last Trading Day</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358.05 Final Settlement Date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358.06 Final and Daily Settlement and Settlement Prices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358.07 Trading Algorithm</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358.08 Block Trade Minimum Quantity Threshold and Reporting Window</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358.09 Order Price Limit Protection</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358.10 Non-Reviewable Range</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47F82" w:rsidRPr="006B0747" w:rsidRDefault="00E47F82" w:rsidP="00E47F8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358.11 Disclaimer</w:t>
      </w:r>
    </w:p>
    <w:p w:rsidR="00E47F82" w:rsidRPr="006B0747" w:rsidRDefault="00E47F82" w:rsidP="00E47F8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47F82" w:rsidRPr="006B0747" w:rsidRDefault="00E47F82" w:rsidP="00E47F82">
      <w:pPr>
        <w:spacing w:after="240" w:line="240" w:lineRule="auto"/>
        <w:rPr>
          <w:rFonts w:ascii="Times New Roman" w:hAnsi="Times New Roman" w:cs="Times New Roman"/>
          <w:u w:val="single"/>
        </w:rPr>
      </w:pP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358A NFX PJM PPL Zone Day-Ahead Off-Peak Mini Financial Futures - 25MWh (PPVQ)</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358A.01 Unit of Trading</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358A.02 Contract Months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358A.03 Prices and Minimum Increments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358A.04 Last Trading Day</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358A.05 Final Settlement Date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358A.06 Final and Daily Settlement and Settlement Prices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358A.07 Trading Algorithm</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358A.08 Block Trade Minimum Quantity Threshold and Reporting Window</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358A.09 Order Price Limit Protection</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358A.10 Non-Reviewable Range</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D0FAD" w:rsidRPr="006B0747" w:rsidRDefault="001D0FAD" w:rsidP="001D0FA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358A.11 Disclaimer</w:t>
      </w:r>
    </w:p>
    <w:p w:rsidR="001D0FAD" w:rsidRPr="006B0747" w:rsidRDefault="001D0FAD" w:rsidP="001D0FA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D0FAD" w:rsidRPr="006B0747" w:rsidRDefault="001D0FAD" w:rsidP="001D0FAD">
      <w:pPr>
        <w:spacing w:after="240" w:line="240" w:lineRule="auto"/>
        <w:rPr>
          <w:rFonts w:ascii="Times New Roman" w:hAnsi="Times New Roman" w:cs="Times New Roman"/>
          <w:u w:val="single"/>
        </w:rPr>
      </w:pP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358B NFX PJM PPL Zone Day-Ahead Off-Peak Mini Financial Futures - 5MWh (PPOQ)</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358B.01 Unit of Trading</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358B.02 Contract Months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358B.03 Prices and Minimum Increments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358B.04 Last Trading Day</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358B.05 Final Settlement Date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358B.06 Final and Daily Settlement and Settlement Prices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358B.07 Trading Algorithm</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358B.08 Block Trade Minimum Quantity Threshold and Reporting Window</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358B.09 Order Price Limit Protection</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358B.10 Non-Reviewable Range</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B3167" w:rsidRPr="006B0747" w:rsidRDefault="004B3167" w:rsidP="004B3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358B.11 Disclaimer</w:t>
      </w:r>
    </w:p>
    <w:p w:rsidR="004B3167" w:rsidRPr="006B0747" w:rsidRDefault="004B3167" w:rsidP="004B3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B3167" w:rsidRPr="006B0747" w:rsidRDefault="004B3167" w:rsidP="004B3167">
      <w:pPr>
        <w:spacing w:after="240" w:line="240" w:lineRule="auto"/>
        <w:rPr>
          <w:rFonts w:ascii="Times New Roman" w:hAnsi="Times New Roman" w:cs="Times New Roman"/>
          <w:u w:val="single"/>
        </w:rPr>
      </w:pP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358C NFX PJM PPL Zone Day-Ahead Off-Peak Mini Financial Futures - 1MWh (PPBQ)</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358C.01 Unit of Trading</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358C.02 Contract Months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358C.03 Prices and Minimum Increments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358C.04 Last Trading Day</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358C.05 Final Settlement Date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358C.06 Final and Daily Settlement and Settlement Prices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358C.07 Trading Algorithm</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358C.08 Block Trade Minimum Quantity Threshold and Reporting Window</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358C.09 Order Price Limit Protection</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358C.10 Non-Reviewable Range</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142D41" w:rsidRPr="006B0747" w:rsidRDefault="00142D41" w:rsidP="00142D4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358C.11 Disclaimer</w:t>
      </w:r>
    </w:p>
    <w:p w:rsidR="00142D41" w:rsidRPr="006B0747" w:rsidRDefault="00142D41" w:rsidP="00142D4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142D41" w:rsidRPr="006B0747" w:rsidRDefault="00142D41" w:rsidP="00142D41">
      <w:pPr>
        <w:spacing w:after="240" w:line="240" w:lineRule="auto"/>
        <w:rPr>
          <w:rFonts w:ascii="Times New Roman" w:hAnsi="Times New Roman" w:cs="Times New Roman"/>
          <w:u w:val="single"/>
        </w:rPr>
      </w:pP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 NFX PJM ComEd Zone Day-Ahead Peak Financial Futures (DEFQ)</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359.01 Unit of Trading</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359.02 Contract Months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359.03 Prices and Minimum Increments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359.04 Last Trading Day</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359.05 Final Settlement Date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359.06 Final and Daily Settlement and Settlement Prices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359.07 Trading Algorithm</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359.08 Block Trade Minimum Quantity Threshold and Reporting Window</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359.09 Order Price Limit Protection</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359.10 Non-Reviewable Range</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11680" w:rsidRPr="006B0747" w:rsidRDefault="00211680" w:rsidP="0021168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359.11 Disclaimer</w:t>
      </w:r>
    </w:p>
    <w:p w:rsidR="00211680" w:rsidRPr="006B0747" w:rsidRDefault="00211680" w:rsidP="0021168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11680" w:rsidRPr="006B0747" w:rsidRDefault="00211680" w:rsidP="00211680">
      <w:pPr>
        <w:spacing w:after="240" w:line="240" w:lineRule="auto"/>
        <w:rPr>
          <w:rFonts w:ascii="Times New Roman" w:hAnsi="Times New Roman" w:cs="Times New Roman"/>
          <w:u w:val="single"/>
        </w:rPr>
      </w:pP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359A NFX PJM ComEd Zone Day-Ahead Peak Mini Financial Futures - 5MW (DEIQ)</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359A.01 Unit of Trading</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359A.02 Contract Months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359A.03 Prices and Minimum Increments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359A.04 Last Trading Day</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359A.05 Final Settlement Date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359A.06 Final and Daily Settlement and Settlement Prices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359A.07 Trading Algorithm</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359A.08 Block Trade Minimum Quantity Threshold and Reporting Window</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359A.09 Order Price Limit Protection</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359A.10 Non-Reviewable Range</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30F77" w:rsidRPr="006B0747" w:rsidRDefault="00F30F77" w:rsidP="00F30F7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359A.11 Disclaimer</w:t>
      </w:r>
    </w:p>
    <w:p w:rsidR="00F30F77" w:rsidRPr="006B0747" w:rsidRDefault="00F30F77" w:rsidP="00F30F7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30F77" w:rsidRPr="006B0747" w:rsidRDefault="00F30F77" w:rsidP="00F30F77">
      <w:pPr>
        <w:spacing w:after="240" w:line="240" w:lineRule="auto"/>
        <w:rPr>
          <w:rFonts w:ascii="Times New Roman" w:hAnsi="Times New Roman" w:cs="Times New Roman"/>
          <w:u w:val="single"/>
        </w:rPr>
      </w:pP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359B NFX PJM ComEd Zone Day-Ahead Peak Mini Financial Futures - 1MW (DEOQ)</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359B.01 Unit of Trading</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359B.02 Contract Months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359B.03 Prices and Minimum Increments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359B.04 Last Trading Day</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359B.05 Final Settlement Date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359B.06 Final and Daily Settlement and Settlement Prices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ComEd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1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359B.07 Trading Algorithm</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359B.08 Block Trade Minimum Quantity Threshold and Reporting Window</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359B.09 Order Price Limit Protection</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359B.10 Non-Reviewable Range</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22B2" w:rsidRPr="006B0747" w:rsidRDefault="003222B2" w:rsidP="003222B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359B.11 Disclaimer</w:t>
      </w:r>
    </w:p>
    <w:p w:rsidR="003222B2" w:rsidRPr="006B0747" w:rsidRDefault="003222B2" w:rsidP="003222B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22B2" w:rsidRPr="006B0747" w:rsidRDefault="003222B2" w:rsidP="003222B2">
      <w:pPr>
        <w:spacing w:after="240" w:line="240" w:lineRule="auto"/>
        <w:rPr>
          <w:rFonts w:ascii="Times New Roman" w:hAnsi="Times New Roman" w:cs="Times New Roman"/>
          <w:u w:val="single"/>
        </w:rPr>
      </w:pP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 NFX PJM ComEd Zone Day-Ahead Off-Peak Financial Futures (DNFQ)</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360.01 Unit of Trading</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360.02 Contract Months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360.03 Prices and Minimum Increments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360.04 Last Trading Day</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360.05 Final Settlement Date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360.06 Final and Daily Settlement and Settlement Prices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360.07 Trading Algorithm</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360.08 Block Trade Minimum Quantity Threshold and Reporting Window</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360.09 Order Price Limit Protection</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360.10 Non-Reviewable Range</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860D1" w:rsidRPr="006B0747" w:rsidRDefault="00E860D1" w:rsidP="00E860D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360.11 Disclaimer</w:t>
      </w:r>
    </w:p>
    <w:p w:rsidR="00E860D1" w:rsidRPr="006B0747" w:rsidRDefault="00E860D1" w:rsidP="00E860D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860D1" w:rsidRPr="006B0747" w:rsidRDefault="00E860D1" w:rsidP="00E860D1">
      <w:pPr>
        <w:spacing w:after="240" w:line="240" w:lineRule="auto"/>
        <w:rPr>
          <w:rFonts w:ascii="Times New Roman" w:hAnsi="Times New Roman" w:cs="Times New Roman"/>
          <w:u w:val="single"/>
        </w:rPr>
      </w:pP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360A NFX PJM ComEd Zone Day-Ahead Off-Peak Mini Financial Futures - 25MWh (DNTQ)</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360A.01 Unit of Trading</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360A.02 Contract Months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360A.03 Prices and Minimum Increments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360A.04 Last Trading Day</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360A.05 Final Settlement Date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360A.06 Final and Daily Settlement and Settlement Prices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1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360A.07 Trading Algorithm</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360A.08 Block Trade Minimum Quantity Threshold and Reporting Window</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360A.09 Order Price Limit Protection</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360A.10 Non-Reviewable Range</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55EF7" w:rsidRPr="006B0747" w:rsidRDefault="00B55EF7" w:rsidP="00B55EF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360A.11 Disclaimer</w:t>
      </w:r>
    </w:p>
    <w:p w:rsidR="00B55EF7" w:rsidRPr="006B0747" w:rsidRDefault="00B55EF7" w:rsidP="00B55EF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55EF7" w:rsidRPr="006B0747" w:rsidRDefault="00B55EF7" w:rsidP="00B55EF7">
      <w:pPr>
        <w:spacing w:after="240" w:line="240" w:lineRule="auto"/>
        <w:rPr>
          <w:rFonts w:ascii="Times New Roman" w:hAnsi="Times New Roman" w:cs="Times New Roman"/>
          <w:u w:val="single"/>
        </w:rPr>
      </w:pP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360B NFX PJM ComEd Zone Day-Ahead Off-Peak Mini Financial Futures - 5MWh (DNIQ)</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360B.01 Unit of Trading</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360B.02 Contract Months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360B.03 Prices and Minimum Increments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360B.04 Last Trading Day</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360B.05 Final Settlement Date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360B.06 Final and Daily Settlement and Settlement Prices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360B.07 Trading Algorithm</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360B.08 Block Trade Minimum Quantity Threshold and Reporting Window</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360B.09 Order Price Limit Protection</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360B.10 Non-Reviewable Range</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F3998" w:rsidRPr="006B0747" w:rsidRDefault="00BF3998" w:rsidP="00BF39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360B.11 Disclaimer</w:t>
      </w:r>
    </w:p>
    <w:p w:rsidR="00BF3998" w:rsidRPr="006B0747" w:rsidRDefault="00BF3998" w:rsidP="00BF39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BF3998" w:rsidRPr="006B0747" w:rsidRDefault="00BF3998" w:rsidP="00BF3998">
      <w:pPr>
        <w:spacing w:after="240" w:line="240" w:lineRule="auto"/>
        <w:rPr>
          <w:rFonts w:ascii="Times New Roman" w:hAnsi="Times New Roman" w:cs="Times New Roman"/>
          <w:u w:val="single"/>
        </w:rPr>
      </w:pP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360C NFX PJM ComEd Zone Day-Ahead Off-Peak Mini Financial Futures - 1MWh (DNOQ)</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360C.01 Unit of Trading</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360C.02 Contract Months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360C.03 Prices and Minimum Increments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360C.04 Last Trading Day</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360C.05 Final Settlement Date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360C.06 Final and Daily Settlement and Settlement Prices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360C.07 Trading Algorithm</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360C.08 Block Trade Minimum Quantity Threshold and Reporting Window</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360C.09 Order Price Limit Protection</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360C.10 Non-Reviewable Range</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578F2" w:rsidRPr="006B0747" w:rsidRDefault="002578F2" w:rsidP="002578F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360C.11 Disclaimer</w:t>
      </w:r>
    </w:p>
    <w:p w:rsidR="002578F2" w:rsidRPr="006B0747" w:rsidRDefault="002578F2" w:rsidP="002578F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2578F2" w:rsidRPr="006B0747" w:rsidRDefault="002578F2" w:rsidP="002578F2">
      <w:pPr>
        <w:spacing w:after="240" w:line="240" w:lineRule="auto"/>
        <w:rPr>
          <w:rFonts w:ascii="Times New Roman" w:hAnsi="Times New Roman" w:cs="Times New Roman"/>
          <w:u w:val="single"/>
        </w:rPr>
      </w:pP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 NFX PJM AECO Zone Day-Ahead Peak Financial Futures (YOFQ)</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361.01 Unit of Trading</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361.02 Contract Months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361.03 Prices and Minimum Increments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361.04 Last Trading Day</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361.05 Final Settlement Date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361.06 Final and Daily Settlement and Settlement Prices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361.07 Trading Algorithm</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361.08 Block Trade Minimum Quantity Threshold and Reporting Window</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361.09 Order Price Limit Protection</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361.10 Non-Reviewable Range</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0B7902" w:rsidRPr="006B0747" w:rsidRDefault="000B7902" w:rsidP="000B790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361.11 Disclaimer</w:t>
      </w:r>
    </w:p>
    <w:p w:rsidR="000B7902" w:rsidRPr="006B0747" w:rsidRDefault="000B7902" w:rsidP="000B790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0B7902" w:rsidRPr="006B0747" w:rsidRDefault="000B7902" w:rsidP="000B7902">
      <w:pPr>
        <w:spacing w:after="240" w:line="240" w:lineRule="auto"/>
        <w:rPr>
          <w:rFonts w:ascii="Times New Roman" w:hAnsi="Times New Roman" w:cs="Times New Roman"/>
          <w:u w:val="single"/>
        </w:rPr>
      </w:pP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361A NFX PJM AECO Zone Day-Ahead Peak Mini Financial Futures - 5MW (YOIQ)</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361A.01 Unit of Trading</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361A.02 Contract Months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361A.03 Prices and Minimum Increments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361A.04 Last Trading Day</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361A.05 Final Settlement Date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361A.06 Final and Daily Settlement and Settlement Prices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361A.07 Trading Algorithm</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361A.08 Block Trade Minimum Quantity Threshold and Reporting Window</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361A.09 Order Price Limit Protection</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361A.10 Non-Reviewable Range</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521BE" w:rsidRPr="006B0747" w:rsidRDefault="00C521BE" w:rsidP="00C521BE">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361A.11 Disclaimer</w:t>
      </w:r>
    </w:p>
    <w:p w:rsidR="00C521BE" w:rsidRPr="006B0747" w:rsidRDefault="00C521BE" w:rsidP="00C521BE">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521BE" w:rsidRPr="006B0747" w:rsidRDefault="00C521BE" w:rsidP="00C521BE">
      <w:pPr>
        <w:spacing w:after="240" w:line="240" w:lineRule="auto"/>
        <w:rPr>
          <w:rFonts w:ascii="Times New Roman" w:hAnsi="Times New Roman" w:cs="Times New Roman"/>
          <w:u w:val="single"/>
        </w:rPr>
      </w:pP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361B NFX PJM AECO Zone Day-Ahead Peak Mini Financial Futures - 1MW (YOOQ)</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361B.01 Unit of Trading</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361B.02 Contract Months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361B.03 Prices and Minimum Increments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361B.04 Last Trading Day</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361B.05 Final Settlement Date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361B.06 Final and Daily Settlement and Settlement Prices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AECO Zone as published by PJM where the peak hours are the hours ending 08:00-23:00 EPT for each Monday through Friday, excluding NERC holidays.</w:t>
      </w:r>
      <w:r w:rsidRPr="006B0747">
        <w:rPr>
          <w:rStyle w:val="FootnoteReference"/>
          <w:rFonts w:ascii="Times New Roman" w:hAnsi="Times New Roman" w:cs="Times New Roman"/>
          <w:u w:val="single"/>
        </w:rPr>
        <w:footnoteReference w:id="2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361B.07 Trading Algorithm</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361B.08 Block Trade Minimum Quantity Threshold and Reporting Window</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361B.09 Order Price Limit Protection</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361B.10 Non-Reviewable Range</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F3D4F" w:rsidRPr="006B0747" w:rsidRDefault="00DF3D4F" w:rsidP="00DF3D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361B.11 Disclaimer</w:t>
      </w:r>
    </w:p>
    <w:p w:rsidR="00DF3D4F" w:rsidRPr="006B0747" w:rsidRDefault="00DF3D4F" w:rsidP="00DF3D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DF3D4F" w:rsidRPr="006B0747" w:rsidRDefault="00DF3D4F" w:rsidP="00DF3D4F">
      <w:pPr>
        <w:spacing w:after="240" w:line="240" w:lineRule="auto"/>
        <w:rPr>
          <w:rFonts w:ascii="Times New Roman" w:hAnsi="Times New Roman" w:cs="Times New Roman"/>
          <w:u w:val="single"/>
        </w:rPr>
      </w:pP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 NFX PJM AECO Zone Day-Ahead Off-Peak Financial Futures (XOFQ)</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362.01 Unit of Trading</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362.02 Contract Months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362.03 Prices and Minimum Increments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362.04 Last Trading Day</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362.05 Final Settlement Date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362.06 Final and Daily Settlement and Settlement Prices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362.07 Trading Algorithm</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362.08 Block Trade Minimum Quantity Threshold and Reporting Window</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362.09 Order Price Limit Protection</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362.10 Non-Reviewable Range</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19A1" w:rsidRPr="006B0747" w:rsidRDefault="006D19A1" w:rsidP="006D19A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362.11 Disclaimer</w:t>
      </w:r>
    </w:p>
    <w:p w:rsidR="006D19A1" w:rsidRPr="006B0747" w:rsidRDefault="006D19A1" w:rsidP="006D19A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19A1" w:rsidRPr="006B0747" w:rsidRDefault="006D19A1" w:rsidP="006D19A1">
      <w:pPr>
        <w:spacing w:after="240" w:line="240" w:lineRule="auto"/>
        <w:rPr>
          <w:rFonts w:ascii="Times New Roman" w:hAnsi="Times New Roman" w:cs="Times New Roman"/>
          <w:u w:val="single"/>
        </w:rPr>
      </w:pP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362A NFX PJM AECO Zone Day-Ahead Off-Peak Mini Financial Futures - 25MWh (XOTQ)</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362A.01 Unit of Trading</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362A.02 Contract Months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362A.03 Prices and Minimum Increments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362A.04 Last Trading Day</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362A.05 Final Settlement Date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362A.06 Final and Daily Settlement and Settlement Prices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Pr="006B0747">
        <w:rPr>
          <w:rStyle w:val="FootnoteReference"/>
          <w:rFonts w:ascii="Times New Roman" w:hAnsi="Times New Roman" w:cs="Times New Roman"/>
          <w:u w:val="single"/>
        </w:rPr>
        <w:footnoteReference w:id="2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362A.07 Trading Algorithm</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362A.08 Block Trade Minimum Quantity Threshold and Reporting Window</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362A.09 Order Price Limit Protection</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362A.10 Non-Reviewable Range</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AB49B8" w:rsidRPr="006B0747" w:rsidRDefault="00AB49B8" w:rsidP="00AB49B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362A.11 Disclaimer</w:t>
      </w:r>
    </w:p>
    <w:p w:rsidR="00AB49B8" w:rsidRPr="006B0747" w:rsidRDefault="00AB49B8" w:rsidP="00AB49B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AB49B8" w:rsidRPr="006B0747" w:rsidRDefault="00AB49B8" w:rsidP="00AB49B8">
      <w:pPr>
        <w:spacing w:after="240" w:line="240" w:lineRule="auto"/>
        <w:rPr>
          <w:rFonts w:ascii="Times New Roman" w:hAnsi="Times New Roman" w:cs="Times New Roman"/>
          <w:u w:val="single"/>
        </w:rPr>
      </w:pP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362B NFX PJM AECO Zone Day-Ahead Off-Peak Mini Financial Futures - 5MWh (XOIQ)</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362B.01 Unit of Trading</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362B.02 Contract Months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362B.03 Prices and Minimum Increments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362B.04 Last Trading Day</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362B.05 Final Settlement Date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362B.06 Final and Daily Settlement and Settlement Prices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E0230" w:rsidRPr="006B0747">
        <w:rPr>
          <w:rStyle w:val="FootnoteReference"/>
          <w:rFonts w:ascii="Times New Roman" w:hAnsi="Times New Roman" w:cs="Times New Roman"/>
          <w:u w:val="single"/>
        </w:rPr>
        <w:footnoteReference w:id="2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362B.07 Trading Algorithm</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362B.08 Block Trade Minimum Quantity Threshold and Reporting Window</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362B.09 Order Price Limit Protection</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362B.10 Non-Reviewable Range</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D928E4" w:rsidRPr="006B0747" w:rsidRDefault="00D928E4" w:rsidP="00D928E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362B.11 Disclaimer</w:t>
      </w:r>
    </w:p>
    <w:p w:rsidR="00D928E4" w:rsidRPr="006B0747" w:rsidRDefault="00D928E4" w:rsidP="00D928E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362C NFX PJM AECO Zone Day-Ahead Off-Peak Mini Financial Futures - 1MWh (XOOQ)</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362C.01 Unit of Trading</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362C.02 Contract Months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362C.03 Prices and Minimum Increments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362C.04 Last Trading Day</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362C.05 Final Settlement Date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362C.06 Final and Daily Settlement and Settlement Prices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93104F" w:rsidRPr="006B0747">
        <w:rPr>
          <w:rStyle w:val="FootnoteReference"/>
          <w:rFonts w:ascii="Times New Roman" w:hAnsi="Times New Roman" w:cs="Times New Roman"/>
          <w:u w:val="single"/>
        </w:rPr>
        <w:footnoteReference w:id="2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362C.07 Trading Algorithm</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362C.08 Block Trade Minimum Quantity Threshold and Reporting Window</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362C.09 Order Price Limit Protection</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362C.10 Non-Reviewable Range</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E0230" w:rsidRPr="006B0747" w:rsidRDefault="009E0230" w:rsidP="009E023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362C.11 Disclaimer</w:t>
      </w:r>
    </w:p>
    <w:p w:rsidR="009E0230" w:rsidRPr="006B0747" w:rsidRDefault="009E0230" w:rsidP="009E023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E0230" w:rsidRPr="006B0747" w:rsidRDefault="009E0230" w:rsidP="009E0230">
      <w:pPr>
        <w:spacing w:after="240" w:line="240" w:lineRule="auto"/>
        <w:rPr>
          <w:rFonts w:ascii="Times New Roman" w:hAnsi="Times New Roman" w:cs="Times New Roman"/>
          <w:u w:val="single"/>
        </w:rPr>
      </w:pP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 NFX PJM FE-Ohio Day-Ahead Peak Financial Futures (PFNQ)</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363.01 Unit of Trading</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363.02 Contract Months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363.03 Prices and Minimum Increments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363.04 Last Trading Day</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363.05 Final Settlement Date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363.06 Final and Daily Settlement and Settlement Prices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32679D" w:rsidRPr="006B0747">
        <w:rPr>
          <w:rStyle w:val="FootnoteReference"/>
          <w:rFonts w:ascii="Times New Roman" w:hAnsi="Times New Roman" w:cs="Times New Roman"/>
          <w:u w:val="single"/>
        </w:rPr>
        <w:footnoteReference w:id="2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363.07 Trading Algorithm</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363.08 Block Trade Minimum Quantity Threshold and Reporting Window</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363.09 Order Price Limit Protection</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363.10 Non-Reviewable Range</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93104F" w:rsidRPr="006B0747" w:rsidRDefault="0093104F" w:rsidP="0093104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363.11 Disclaimer</w:t>
      </w:r>
    </w:p>
    <w:p w:rsidR="0093104F" w:rsidRPr="006B0747" w:rsidRDefault="0093104F" w:rsidP="0093104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93104F" w:rsidRPr="006B0747" w:rsidRDefault="0093104F" w:rsidP="0093104F">
      <w:pPr>
        <w:spacing w:after="240" w:line="240" w:lineRule="auto"/>
        <w:rPr>
          <w:rFonts w:ascii="Times New Roman" w:hAnsi="Times New Roman" w:cs="Times New Roman"/>
          <w:u w:val="single"/>
        </w:rPr>
      </w:pP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363A NFX PJM FE-Ohio Day-Ahead Peak Mini Financial Futures - 5MW (PFIQ)</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363A.01 Unit of Trading</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363A.02 Contract Months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363A.03 Prices and Minimum Increments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363A.04 Last Trading Day</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363A.05 Final Settlement Date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363A.06 Final and Daily Settlement and Settlement Prices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EB5694" w:rsidRPr="006B0747">
        <w:rPr>
          <w:rStyle w:val="FootnoteReference"/>
          <w:rFonts w:ascii="Times New Roman" w:hAnsi="Times New Roman" w:cs="Times New Roman"/>
          <w:u w:val="single"/>
        </w:rPr>
        <w:footnoteReference w:id="3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363A.07 Trading Algorithm</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363A.08 Block Trade Minimum Quantity Threshold and Reporting Window</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363A.09 Order Price Limit Protection</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363A.10 Non-Reviewable Range</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2679D" w:rsidRPr="006B0747" w:rsidRDefault="0032679D" w:rsidP="0032679D">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363A.11 Disclaimer</w:t>
      </w:r>
    </w:p>
    <w:p w:rsidR="0032679D" w:rsidRPr="006B0747" w:rsidRDefault="0032679D" w:rsidP="0032679D">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2679D" w:rsidRPr="006B0747" w:rsidRDefault="0032679D" w:rsidP="0032679D">
      <w:pPr>
        <w:spacing w:after="240" w:line="240" w:lineRule="auto"/>
        <w:rPr>
          <w:rFonts w:ascii="Times New Roman" w:hAnsi="Times New Roman" w:cs="Times New Roman"/>
          <w:u w:val="single"/>
        </w:rPr>
      </w:pP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363B NFX PJM FE-Ohio Day-Ahead Peak Mini Financial Futures - 1MW (PFOQ)</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363B.01 Unit of Trading</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363B.02 Contract Months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363B.03 Prices and Minimum Increments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363B.04 Last Trading Day</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363B.05 Final Settlement Date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363B.06 Final and Daily Settlement and Settlement Prices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FE-Ohio as published by PJM where the peak hours are the hours ending 08:00-23:00 EPT for each Monday through Friday, excluding NERC holidays.</w:t>
      </w:r>
      <w:r w:rsidR="004D2868" w:rsidRPr="006B0747">
        <w:rPr>
          <w:rStyle w:val="FootnoteReference"/>
          <w:rFonts w:ascii="Times New Roman" w:hAnsi="Times New Roman" w:cs="Times New Roman"/>
          <w:u w:val="single"/>
        </w:rPr>
        <w:footnoteReference w:id="3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363B.07 Trading Algorithm</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363B.08 Block Trade Minimum Quantity Threshold and Reporting Window</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363B.09 Order Price Limit Protection</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363B.10 Non-Reviewable Range</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B5694" w:rsidRPr="006B0747" w:rsidRDefault="00EB5694" w:rsidP="00EB5694">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363B.11 Disclaimer</w:t>
      </w:r>
    </w:p>
    <w:p w:rsidR="00EB5694" w:rsidRPr="006B0747" w:rsidRDefault="00EB5694" w:rsidP="00EB5694">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B5694" w:rsidRPr="006B0747" w:rsidRDefault="00EB5694" w:rsidP="00EB5694">
      <w:pPr>
        <w:spacing w:after="240" w:line="240" w:lineRule="auto"/>
        <w:rPr>
          <w:rFonts w:ascii="Times New Roman" w:hAnsi="Times New Roman" w:cs="Times New Roman"/>
          <w:u w:val="single"/>
        </w:rPr>
      </w:pP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 NFX PJM FE-Ohio Day-Ahead Off-Peak Financial Futures (PFFQ)</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364.01 Unit of Trading</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364.02 Contract Months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364.03 Prices and Minimum Increments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364.04 Last Trading Day</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364.05 Final Settlement Date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364.06 Final and Daily Settlement and Settlement Prices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F2643F" w:rsidRPr="006B0747">
        <w:rPr>
          <w:rStyle w:val="FootnoteReference"/>
          <w:rFonts w:ascii="Times New Roman" w:hAnsi="Times New Roman" w:cs="Times New Roman"/>
          <w:u w:val="single"/>
        </w:rPr>
        <w:footnoteReference w:id="3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364.07 Trading Algorithm</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364.08 Block Trade Minimum Quantity Threshold and Reporting Window</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364.09 Order Price Limit Protection</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364.10 Non-Reviewable Range</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D2868" w:rsidRPr="006B0747" w:rsidRDefault="004D2868" w:rsidP="004D286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364.11 Disclaimer</w:t>
      </w:r>
    </w:p>
    <w:p w:rsidR="004D2868" w:rsidRPr="006B0747" w:rsidRDefault="004D2868" w:rsidP="004D286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D2868" w:rsidRPr="006B0747" w:rsidRDefault="004D2868" w:rsidP="004D2868">
      <w:pPr>
        <w:spacing w:after="240" w:line="240" w:lineRule="auto"/>
        <w:rPr>
          <w:rFonts w:ascii="Times New Roman" w:hAnsi="Times New Roman" w:cs="Times New Roman"/>
          <w:u w:val="single"/>
        </w:rPr>
      </w:pP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364A NFX PJM FE-Ohio Day-Ahead Off-Peak Mini Financial Futures - 25MWh (PFTQ)</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364A.01 Unit of Trading</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364A.02 Contract Months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364A.03 Prices and Minimum Increments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364A.04 Last Trading Day</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364A.05 Final Settlement Date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364A.06 Final and Daily Settlement and Settlement Prices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6D5461" w:rsidRPr="006B0747">
        <w:rPr>
          <w:rStyle w:val="FootnoteReference"/>
          <w:rFonts w:ascii="Times New Roman" w:hAnsi="Times New Roman" w:cs="Times New Roman"/>
          <w:u w:val="single"/>
        </w:rPr>
        <w:footnoteReference w:id="33"/>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364A.07 Trading Algorithm</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364A.08 Block Trade Minimum Quantity Threshold and Reporting Window</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364A.09 Order Price Limit Protection</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364A.10 Non-Reviewable Range</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2643F" w:rsidRPr="006B0747" w:rsidRDefault="00F2643F" w:rsidP="00F2643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364A.11 Disclaimer</w:t>
      </w:r>
    </w:p>
    <w:p w:rsidR="00F2643F" w:rsidRPr="006B0747" w:rsidRDefault="00F2643F" w:rsidP="00F2643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2643F" w:rsidRPr="006B0747" w:rsidRDefault="00F2643F" w:rsidP="00F2643F">
      <w:pPr>
        <w:spacing w:after="240" w:line="240" w:lineRule="auto"/>
        <w:rPr>
          <w:rFonts w:ascii="Times New Roman" w:hAnsi="Times New Roman" w:cs="Times New Roman"/>
          <w:u w:val="single"/>
        </w:rPr>
      </w:pP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364B NFX PJM FE-Ohio Day-Ahead Off-Peak Mini Financial Futures - 5MWh (PFVQ)</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364B.01 Unit of Trading</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364B.02 Contract Months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364B.03 Prices and Minimum Increments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364B.04 Last Trading Day</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364B.05 Final Settlement Date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364B.06 Final and Daily Settlement and Settlement Prices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3437F" w:rsidRPr="006B0747">
        <w:rPr>
          <w:rStyle w:val="FootnoteReference"/>
          <w:rFonts w:ascii="Times New Roman" w:hAnsi="Times New Roman" w:cs="Times New Roman"/>
          <w:u w:val="single"/>
        </w:rPr>
        <w:footnoteReference w:id="34"/>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364B.07 Trading Algorithm</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364B.08 Block Trade Minimum Quantity Threshold and Reporting Window</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364B.09 Order Price Limit Protection</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364B.10 Non-Reviewable Range</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6D5461" w:rsidRPr="006B0747" w:rsidRDefault="006D5461" w:rsidP="006D5461">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364B.11 Disclaimer</w:t>
      </w:r>
    </w:p>
    <w:p w:rsidR="006D5461" w:rsidRPr="006B0747" w:rsidRDefault="006D5461" w:rsidP="006D5461">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6D5461" w:rsidRPr="006B0747" w:rsidRDefault="006D5461" w:rsidP="006D5461">
      <w:pPr>
        <w:spacing w:after="240" w:line="240" w:lineRule="auto"/>
        <w:rPr>
          <w:rFonts w:ascii="Times New Roman" w:hAnsi="Times New Roman" w:cs="Times New Roman"/>
          <w:u w:val="single"/>
        </w:rPr>
      </w:pP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364C NFX PJM FE-Ohio Day-Ahead Off-Peak Mini Financial Futures - 1MWh (PFEQ)</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364C.01 Unit of Trading</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364C.02 Contract Months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364C.03 Prices and Minimum Increments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364C.04 Last Trading Day</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364C.05 Final Settlement Date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364C.06 Final and Daily Settlement and Settlement Prices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3A6069" w:rsidRPr="006B0747">
        <w:rPr>
          <w:rStyle w:val="FootnoteReference"/>
          <w:rFonts w:ascii="Times New Roman" w:hAnsi="Times New Roman" w:cs="Times New Roman"/>
          <w:u w:val="single"/>
        </w:rPr>
        <w:footnoteReference w:id="35"/>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364C.07 Trading Algorithm</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364C.08 Block Trade Minimum Quantity Threshold and Reporting Window</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364C.09 Order Price Limit Protection</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364C.10 Non-Reviewable Range</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3437F" w:rsidRPr="006B0747" w:rsidRDefault="0033437F" w:rsidP="0033437F">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364C.11 Disclaimer</w:t>
      </w:r>
    </w:p>
    <w:p w:rsidR="0033437F" w:rsidRPr="006B0747" w:rsidRDefault="0033437F" w:rsidP="0033437F">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3437F" w:rsidRPr="006B0747" w:rsidRDefault="0033437F" w:rsidP="0033437F">
      <w:pPr>
        <w:spacing w:after="240" w:line="240" w:lineRule="auto"/>
        <w:rPr>
          <w:rFonts w:ascii="Times New Roman" w:hAnsi="Times New Roman" w:cs="Times New Roman"/>
          <w:u w:val="single"/>
        </w:rPr>
      </w:pP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 NFX PJM METED Zone Day-Ahead Peak Financial Futures (FSFQ)</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365.01 Unit of Trading</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365.02 Contract Months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365.03 Prices and Minimum Increments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365.04 Last Trading Day</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365.05 Final Settlement Date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365.06 Final and Daily Settlement and Settlement Prices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C17B98" w:rsidRPr="006B0747">
        <w:rPr>
          <w:rStyle w:val="FootnoteReference"/>
          <w:rFonts w:ascii="Times New Roman" w:hAnsi="Times New Roman" w:cs="Times New Roman"/>
          <w:u w:val="single"/>
        </w:rPr>
        <w:footnoteReference w:id="36"/>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365.07 Trading Algorithm</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365.08 Block Trade Minimum Quantity Threshold and Reporting Window</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365.09 Order Price Limit Protection</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365.10 Non-Reviewable Range</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A6069" w:rsidRPr="006B0747" w:rsidRDefault="003A6069" w:rsidP="003A6069">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365.11 Disclaimer</w:t>
      </w:r>
    </w:p>
    <w:p w:rsidR="003A6069" w:rsidRPr="006B0747" w:rsidRDefault="003A6069" w:rsidP="003A6069">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A6069" w:rsidRPr="006B0747" w:rsidRDefault="003A6069" w:rsidP="003A6069">
      <w:pPr>
        <w:spacing w:after="240" w:line="240" w:lineRule="auto"/>
        <w:rPr>
          <w:rFonts w:ascii="Times New Roman" w:hAnsi="Times New Roman" w:cs="Times New Roman"/>
          <w:u w:val="single"/>
        </w:rPr>
      </w:pP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365A NFX PJM METED Zone Day-Ahead Peak Mini Financial Futures - 5MW (FSIQ)</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365A.01 Unit of Trading</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365A.02 Contract Months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365A.03 Prices and Minimum Increments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365A.04 Last Trading Day</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365A.05 Final Settlement Date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365A.06 Final and Daily Settlement and Settlement Prices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E93862" w:rsidRPr="006B0747">
        <w:rPr>
          <w:rStyle w:val="FootnoteReference"/>
          <w:rFonts w:ascii="Times New Roman" w:hAnsi="Times New Roman" w:cs="Times New Roman"/>
          <w:u w:val="single"/>
        </w:rPr>
        <w:footnoteReference w:id="37"/>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365A.07 Trading Algorithm</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365A.08 Block Trade Minimum Quantity Threshold and Reporting Window</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365A.09 Order Price Limit Protection</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365A.10 Non-Reviewable Range</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B98" w:rsidRPr="006B0747" w:rsidRDefault="00C17B98" w:rsidP="00C17B98">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365A.11 Disclaimer</w:t>
      </w:r>
    </w:p>
    <w:p w:rsidR="00C17B98" w:rsidRPr="006B0747" w:rsidRDefault="00C17B98" w:rsidP="00C17B98">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C17B98" w:rsidRPr="006B0747" w:rsidRDefault="00C17B98" w:rsidP="00C17B98">
      <w:pPr>
        <w:spacing w:after="240" w:line="240" w:lineRule="auto"/>
        <w:rPr>
          <w:rFonts w:ascii="Times New Roman" w:hAnsi="Times New Roman" w:cs="Times New Roman"/>
          <w:u w:val="single"/>
        </w:rPr>
      </w:pP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365B NFX PJM METED Zone Day-Ahead Peak Mini Financial Futures - 1MW (FSOQ)</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365B.01 Unit of Trading</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365B.02 Contract Months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365B.03 Prices and Minimum Increments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365B.04 Last Trading Day</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365B.05 Final Settlement Date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365B.06 Final and Daily Settlement and Settlement Prices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peak LMPs for the METED Zone as published by PJM where the peak hours are the hours ending 08:00-23:00 EPT for each Monday through Friday, excluding NERC holidays.</w:t>
      </w:r>
      <w:r w:rsidR="00F1299C" w:rsidRPr="006B0747">
        <w:rPr>
          <w:rStyle w:val="FootnoteReference"/>
          <w:rFonts w:ascii="Times New Roman" w:hAnsi="Times New Roman" w:cs="Times New Roman"/>
          <w:u w:val="single"/>
        </w:rPr>
        <w:footnoteReference w:id="38"/>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365B.07 Trading Algorithm</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365B.08 Block Trade Minimum Quantity Threshold and Reporting Window</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365B.09 Order Price Limit Protection</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365B.10 Non-Reviewable Range</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93862" w:rsidRPr="006B0747" w:rsidRDefault="00E93862" w:rsidP="00E9386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365B.11 Disclaimer</w:t>
      </w:r>
    </w:p>
    <w:p w:rsidR="00E93862" w:rsidRPr="006B0747" w:rsidRDefault="00E93862" w:rsidP="00E9386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E93862" w:rsidRPr="006B0747" w:rsidRDefault="00E93862" w:rsidP="00E93862">
      <w:pPr>
        <w:spacing w:after="240" w:line="240" w:lineRule="auto"/>
        <w:rPr>
          <w:rFonts w:ascii="Times New Roman" w:hAnsi="Times New Roman" w:cs="Times New Roman"/>
          <w:u w:val="single"/>
        </w:rPr>
      </w:pP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 NFX PJM METED Zone Day-Ahead Off-Peak Financial Futures (FIFQ)</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366.01 Unit of Trading</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366.02 Contract Months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366.03 Prices and Minimum Increments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366.04 Last Trading Day</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366.05 Final Settlement Date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366.06 Final and Daily Settlement and Settlement Prices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797F92" w:rsidRPr="006B0747">
        <w:rPr>
          <w:rStyle w:val="FootnoteReference"/>
          <w:rFonts w:ascii="Times New Roman" w:hAnsi="Times New Roman" w:cs="Times New Roman"/>
          <w:u w:val="single"/>
        </w:rPr>
        <w:footnoteReference w:id="39"/>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366.07 Trading Algorithm</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366.08 Block Trade Minimum Quantity Threshold and Reporting Window</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366.09 Order Price Limit Protection</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366.10 Non-Reviewable Range</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F1299C" w:rsidRPr="006B0747" w:rsidRDefault="00F1299C" w:rsidP="00F1299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366.11 Disclaimer</w:t>
      </w:r>
    </w:p>
    <w:p w:rsidR="00F1299C" w:rsidRPr="006B0747" w:rsidRDefault="00F1299C" w:rsidP="00F1299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F1299C" w:rsidRPr="006B0747" w:rsidRDefault="00F1299C" w:rsidP="00F1299C">
      <w:pPr>
        <w:spacing w:after="240" w:line="240" w:lineRule="auto"/>
        <w:rPr>
          <w:rFonts w:ascii="Times New Roman" w:hAnsi="Times New Roman" w:cs="Times New Roman"/>
          <w:u w:val="single"/>
        </w:rPr>
      </w:pP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366A NFX PJM METED Zone Day-Ahead Off-Peak Mini Financial Futures - 25MWh (FITQ)</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366A.01 Unit of Trading</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366A.02 Contract Months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366A.03 Prices and Minimum Increments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366A.04 Last Trading Day</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366A.05 Final Settlement Date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366A.06 Final and Daily Settlement and Settlement Prices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432C3A" w:rsidRPr="006B0747">
        <w:rPr>
          <w:rStyle w:val="FootnoteReference"/>
          <w:rFonts w:ascii="Times New Roman" w:hAnsi="Times New Roman" w:cs="Times New Roman"/>
          <w:u w:val="single"/>
        </w:rPr>
        <w:footnoteReference w:id="40"/>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366A.07 Trading Algorithm</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366A.08 Block Trade Minimum Quantity Threshold and Reporting Window</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366A.09 Order Price Limit Protection</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366A.10 Non-Reviewable Range</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97F92" w:rsidRPr="006B0747" w:rsidRDefault="00797F92" w:rsidP="00797F9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366A.11 Disclaimer</w:t>
      </w:r>
    </w:p>
    <w:p w:rsidR="00797F92" w:rsidRPr="006B0747" w:rsidRDefault="00797F92" w:rsidP="00797F9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797F92" w:rsidRPr="006B0747" w:rsidRDefault="00797F92" w:rsidP="00797F92">
      <w:pPr>
        <w:spacing w:after="240" w:line="240" w:lineRule="auto"/>
        <w:rPr>
          <w:rFonts w:ascii="Times New Roman" w:hAnsi="Times New Roman" w:cs="Times New Roman"/>
          <w:u w:val="single"/>
        </w:rPr>
      </w:pP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366B NFX PJM METED Zone Day-Ahead Off-Peak Mini Financial Futures - 5MWh (FIIQ)</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366B.01 Unit of Trading</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366B.02 Contract Months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366B.03 Prices and Minimum Increments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366B.04 Last Trading Day</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366B.05 Final Settlement Date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366B.06 Final and Daily Settlement and Settlement Prices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344167" w:rsidRPr="006B0747">
        <w:rPr>
          <w:rStyle w:val="FootnoteReference"/>
          <w:rFonts w:ascii="Times New Roman" w:hAnsi="Times New Roman" w:cs="Times New Roman"/>
          <w:u w:val="single"/>
        </w:rPr>
        <w:footnoteReference w:id="41"/>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366B.07 Trading Algorithm</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366B.08 Block Trade Minimum Quantity Threshold and Reporting Window</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366B.09 Order Price Limit Protection</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366B.10 Non-Reviewable Range</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32C3A" w:rsidRPr="006B0747" w:rsidRDefault="00432C3A" w:rsidP="00432C3A">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366B.11 Disclaimer</w:t>
      </w:r>
    </w:p>
    <w:p w:rsidR="00432C3A" w:rsidRPr="006B0747" w:rsidRDefault="00432C3A" w:rsidP="00432C3A">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432C3A" w:rsidRPr="006B0747" w:rsidRDefault="00432C3A" w:rsidP="00432C3A">
      <w:pPr>
        <w:spacing w:after="240" w:line="240" w:lineRule="auto"/>
        <w:rPr>
          <w:rFonts w:ascii="Times New Roman" w:hAnsi="Times New Roman" w:cs="Times New Roman"/>
          <w:u w:val="single"/>
        </w:rPr>
      </w:pP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366C NFX PJM METED Zone Day-Ahead Off-Peak Mini Financial Futures - 1MWh (FIOQ)</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366C.01 Unit of Trading</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366C.02 Contract Months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366C.03 Prices and Minimum Increments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366C.04 Last Trading Day</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366C.05 Final Settlement Date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366C.06 Final and Daily Settlement and Settlement Prices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2371A0" w:rsidRPr="006B0747">
        <w:rPr>
          <w:rStyle w:val="FootnoteReference"/>
          <w:rFonts w:ascii="Times New Roman" w:hAnsi="Times New Roman" w:cs="Times New Roman"/>
          <w:u w:val="single"/>
        </w:rPr>
        <w:footnoteReference w:id="42"/>
      </w:r>
      <w:r w:rsidRPr="006B0747">
        <w:rPr>
          <w:rFonts w:ascii="Times New Roman" w:hAnsi="Times New Roman" w:cs="Times New Roman"/>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366C.07 Trading Algorithm</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366C.08 Block Trade Minimum Quantity Threshold and Reporting Window</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366C.09 Order Price Limit Protection</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366C.10 Non-Reviewable Range</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344167" w:rsidRPr="006B0747" w:rsidRDefault="00344167" w:rsidP="0034416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366C.11 Disclaimer</w:t>
      </w:r>
    </w:p>
    <w:p w:rsidR="00344167" w:rsidRPr="006B0747" w:rsidRDefault="00344167" w:rsidP="0034416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rsidR="00344167" w:rsidRPr="006B0747" w:rsidRDefault="00344167" w:rsidP="00344167">
      <w:pPr>
        <w:spacing w:after="240" w:line="240" w:lineRule="auto"/>
        <w:rPr>
          <w:rFonts w:ascii="Times New Roman" w:hAnsi="Times New Roman" w:cs="Times New Roman"/>
          <w:u w:val="single"/>
        </w:rPr>
      </w:pP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 NFX ISO-NE Connecticut Zone Day-Ahead Peak Financial Futures (ICPQ)</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367.01 Unit of Trading</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800 MWh.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367.02 Contract Months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367.03 Prices and Minimum Increments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8.00</w:t>
      </w:r>
      <w:r w:rsidRPr="006B0747">
        <w:rPr>
          <w:rFonts w:ascii="Times New Roman" w:hAnsi="Times New Roman" w:cs="Times New Roman"/>
          <w:u w:val="single"/>
        </w:rPr>
        <w:t xml:space="preserve"> per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367.04 Last Trading Day</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367.05 Final Settlement Date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367.06 Final and Daily Settlement and Settlement Prices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4C49F0" w:rsidRPr="006B0747">
        <w:rPr>
          <w:rStyle w:val="FootnoteReference"/>
          <w:rFonts w:ascii="Times New Roman" w:hAnsi="Times New Roman" w:cs="Times New Roman"/>
          <w:u w:val="single"/>
        </w:rPr>
        <w:footnoteReference w:id="43"/>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367.07 Trading Algorithm</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367.08 Block Trade Minimum Quantity Threshold and Reporting Window</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367.09 Order Price Limit Protection</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367.10 Non-Reviewable Range</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2371A0" w:rsidRPr="006B0747" w:rsidRDefault="002371A0" w:rsidP="002371A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367.11 Disclaimer</w:t>
      </w:r>
    </w:p>
    <w:p w:rsidR="002371A0" w:rsidRPr="006B0747" w:rsidRDefault="002371A0" w:rsidP="002371A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2371A0" w:rsidRPr="006B0747" w:rsidRDefault="002371A0" w:rsidP="002371A0">
      <w:pPr>
        <w:spacing w:after="240" w:line="240" w:lineRule="auto"/>
        <w:rPr>
          <w:rFonts w:ascii="Times New Roman" w:hAnsi="Times New Roman" w:cs="Times New Roman"/>
          <w:u w:val="single"/>
        </w:rPr>
      </w:pP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367A NFX ISO-NE Connecticut Zone Day-Ahead Peak Mini Financial Futures - 5MW (ICFQ)</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367A.01 Unit of Trading</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80 MWh.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367A.02 Contract Months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367A.03 Prices and Minimum Increments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0.80</w:t>
      </w:r>
      <w:r w:rsidRPr="006B0747">
        <w:rPr>
          <w:rFonts w:ascii="Times New Roman" w:hAnsi="Times New Roman" w:cs="Times New Roman"/>
          <w:u w:val="single"/>
        </w:rPr>
        <w:t xml:space="preserve"> per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367A.04 Last Trading Day</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367A.05 Final Settlement Date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367A.06 Final and Daily Settlement and Settlement Prices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C17CAC" w:rsidRPr="006B0747">
        <w:rPr>
          <w:rStyle w:val="FootnoteReference"/>
          <w:rFonts w:ascii="Times New Roman" w:hAnsi="Times New Roman" w:cs="Times New Roman"/>
          <w:u w:val="single"/>
        </w:rPr>
        <w:footnoteReference w:id="44"/>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367A.07 Trading Algorithm</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367A.08 Block Trade Minimum Quantity Threshold and Reporting Window</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367A.09 Order Price Limit Protection</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367A.10 Non-Reviewable Range</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C49F0" w:rsidRPr="006B0747" w:rsidRDefault="004C49F0" w:rsidP="004C49F0">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367A.11 Disclaimer</w:t>
      </w:r>
    </w:p>
    <w:p w:rsidR="004C49F0" w:rsidRPr="006B0747" w:rsidRDefault="004C49F0" w:rsidP="004C49F0">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C49F0" w:rsidRPr="006B0747" w:rsidRDefault="004C49F0" w:rsidP="004C49F0">
      <w:pPr>
        <w:spacing w:after="240" w:line="240" w:lineRule="auto"/>
        <w:rPr>
          <w:rFonts w:ascii="Times New Roman" w:hAnsi="Times New Roman" w:cs="Times New Roman"/>
          <w:u w:val="single"/>
        </w:rPr>
      </w:pP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367B NFX ISO-NE Connecticut Zone Day-Ahead Peak Mini Financial Futures - 1MW (ICNQ)</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367B.01 Unit of Trading</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16 MWh.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367B.02 Contract Months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367B.03 Prices and Minimum Increments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w:t>
      </w:r>
      <w:r w:rsidR="00D402C9" w:rsidRPr="006B0747">
        <w:rPr>
          <w:rFonts w:ascii="Times New Roman" w:hAnsi="Times New Roman" w:cs="Times New Roman"/>
          <w:u w:val="single"/>
        </w:rPr>
        <w:t>0.16</w:t>
      </w:r>
      <w:r w:rsidRPr="006B0747">
        <w:rPr>
          <w:rFonts w:ascii="Times New Roman" w:hAnsi="Times New Roman" w:cs="Times New Roman"/>
          <w:u w:val="single"/>
        </w:rPr>
        <w:t xml:space="preserve"> per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367B.04 Last Trading Day</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367B.05 Final Settlement Date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367B.06 Final and Daily Settlement and Settlement Prices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will be equal to the mathematical average of the day-ahead hourly peak locational marginal prices ("LMPs") for the contract month for the Connecticut Zone as published by ISO New England ("ISO-NE") at 5:00 PM EPT on the fifth business day following the last trading day, where the peak hours are the hours ending 8:00-23:00 for each Monday through Friday, excluding NERC holidays.</w:t>
      </w:r>
      <w:r w:rsidR="00766633" w:rsidRPr="006B0747">
        <w:rPr>
          <w:rStyle w:val="FootnoteReference"/>
          <w:rFonts w:ascii="Times New Roman" w:hAnsi="Times New Roman" w:cs="Times New Roman"/>
          <w:u w:val="single"/>
        </w:rPr>
        <w:footnoteReference w:id="45"/>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367B.07 Trading Algorithm</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367B.08 Block Trade Minimum Quantity Threshold and Reporting Window</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367B.09 Order Price Limit Protection</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367B.10 Non-Reviewable Range</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C17CAC" w:rsidRPr="006B0747" w:rsidRDefault="00C17CAC" w:rsidP="00C17CAC">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367B.11 Disclaimer</w:t>
      </w:r>
    </w:p>
    <w:p w:rsidR="00C17CAC" w:rsidRPr="006B0747" w:rsidRDefault="00C17CAC" w:rsidP="00C17CAC">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C17CAC" w:rsidRPr="006B0747" w:rsidRDefault="00C17CAC" w:rsidP="00C17CAC">
      <w:pPr>
        <w:spacing w:after="240" w:line="240" w:lineRule="auto"/>
        <w:rPr>
          <w:rFonts w:ascii="Times New Roman" w:hAnsi="Times New Roman" w:cs="Times New Roman"/>
          <w:u w:val="single"/>
        </w:rPr>
      </w:pP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 NFX ISO-NE Connecticut Zone Day-Ahead Off-Peak Financial Futures (ICOQ)</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368.01 Unit of Trading</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50 MWh.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368.02 Contract Months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368.03 Prices and Minimum Increments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$0.50 per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368.04 Last Trading Day</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368.05 Final Settlement Date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368.06 Final and Daily Settlement and Settlement Prices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4538D7" w:rsidRPr="006B0747">
        <w:rPr>
          <w:rStyle w:val="FootnoteReference"/>
          <w:rFonts w:ascii="Times New Roman" w:hAnsi="Times New Roman" w:cs="Times New Roman"/>
          <w:u w:val="single"/>
        </w:rPr>
        <w:footnoteReference w:id="46"/>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368.07 Trading Algorithm</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368.08 Block Trade Minimum Quantity Threshold and Reporting Window</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368.09 Order Price Limit Protection</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368.10 Non-Reviewable Range</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766633" w:rsidRPr="006B0747" w:rsidRDefault="00766633" w:rsidP="00766633">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368.11 Disclaimer</w:t>
      </w:r>
    </w:p>
    <w:p w:rsidR="00766633" w:rsidRPr="006B0747" w:rsidRDefault="00766633" w:rsidP="00766633">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766633" w:rsidRPr="006B0747" w:rsidRDefault="00766633" w:rsidP="00766633">
      <w:pPr>
        <w:spacing w:after="240" w:line="240" w:lineRule="auto"/>
        <w:rPr>
          <w:rFonts w:ascii="Times New Roman" w:hAnsi="Times New Roman" w:cs="Times New Roman"/>
          <w:u w:val="single"/>
        </w:rPr>
      </w:pP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368A NFX ISO-NE Connecticut Zone Day-Ahead Off-Peak Mini Financial Futures - 25MWh (ICTQ)</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368A.01 Unit of Trading</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25 MWh.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368A.02 Contract Months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368A.03 Prices and Minimum Increments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$0.25 per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368A.04 Last Trading Day</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368A.05 Final Settlement Date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368A.06 Final and Daily Settlement and Settlement Prices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E20042" w:rsidRPr="006B0747">
        <w:rPr>
          <w:rStyle w:val="FootnoteReference"/>
          <w:rFonts w:ascii="Times New Roman" w:hAnsi="Times New Roman" w:cs="Times New Roman"/>
          <w:u w:val="single"/>
        </w:rPr>
        <w:footnoteReference w:id="47"/>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368A.07 Trading Algorithm</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368A.08 Block Trade Minimum Quantity Threshold and Reporting Window</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368A.09 Order Price Limit Protection</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368A.10 Non-Reviewable Range</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4538D7" w:rsidRPr="006B0747" w:rsidRDefault="004538D7" w:rsidP="004538D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368A.11 Disclaimer</w:t>
      </w:r>
    </w:p>
    <w:p w:rsidR="004538D7" w:rsidRPr="006B0747" w:rsidRDefault="004538D7" w:rsidP="004538D7">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4538D7" w:rsidRPr="006B0747" w:rsidRDefault="004538D7" w:rsidP="004538D7">
      <w:pPr>
        <w:spacing w:after="240" w:line="240" w:lineRule="auto"/>
        <w:rPr>
          <w:rFonts w:ascii="Times New Roman" w:hAnsi="Times New Roman" w:cs="Times New Roman"/>
          <w:u w:val="single"/>
        </w:rPr>
      </w:pP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368B NFX ISO-NE Connecticut Zone Day-Ahead Off-Peak Mini Financial Futures - 5MWh (ICIQ)</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368B.01 Unit of Trading</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5 MWh.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368B.02 Contract Months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368B.03 Prices and Minimum Increments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$0.05 per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368B.04 Last Trading Day</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368B.05 Final Settlement Date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368B.06 Final and Daily Settlement and Settlement Prices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B13147" w:rsidRPr="006B0747">
        <w:rPr>
          <w:rStyle w:val="FootnoteReference"/>
          <w:rFonts w:ascii="Times New Roman" w:hAnsi="Times New Roman" w:cs="Times New Roman"/>
          <w:u w:val="single"/>
        </w:rPr>
        <w:footnoteReference w:id="48"/>
      </w:r>
      <w:r w:rsidRPr="006B0747">
        <w:rPr>
          <w:rFonts w:ascii="Times New Roman" w:hAnsi="Times New Roman" w:cs="Times New Roman"/>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368B.07 Trading Algorithm</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368B.08 Block Trade Minimum Quantity Threshold and Reporting Window</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368B.09 Order Price Limit Protection</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368B.10 Non-Reviewable Range</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E20042" w:rsidRPr="006B0747" w:rsidRDefault="00E20042" w:rsidP="00E20042">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368B.11 Disclaimer</w:t>
      </w:r>
    </w:p>
    <w:p w:rsidR="00E20042" w:rsidRPr="006B0747" w:rsidRDefault="00E20042" w:rsidP="00E20042">
      <w:pPr>
        <w:spacing w:after="240" w:line="240" w:lineRule="auto"/>
        <w:rPr>
          <w:rFonts w:ascii="Times New Roman" w:hAnsi="Times New Roman" w:cs="Times New Roman"/>
          <w:u w:val="single"/>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E20042" w:rsidRPr="006B0747" w:rsidRDefault="00E20042" w:rsidP="00E20042">
      <w:pPr>
        <w:spacing w:after="240" w:line="240" w:lineRule="auto"/>
        <w:rPr>
          <w:rFonts w:ascii="Times New Roman" w:hAnsi="Times New Roman" w:cs="Times New Roman"/>
          <w:u w:val="single"/>
        </w:rPr>
      </w:pP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Chapter 368C NFX ISO-NE Connecticut Zone Day-Ahead Off-Peak Mini Financial Futures - 1MWh (ICEQ)</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368C.01 Unit of Trading</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unit of trading for one contract is 1 MWh.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368C.02 Contract Months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Exchange may list for trading up to 120 consecutive or non-consecutive monthly contracts, beginning with the nearest available contract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368C.03 Prices and Minimum Increments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Prices are quoted in U.S. dollars and cents per MWh. The minimum trading increment is $0.01 per MWh which is equal to $0.01 per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368C.04 Last Trading Day</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Trading for a particular contract month terminates on the last business day of the contract month. Trading ceases at 5:00 PM EPT on the last trading day of the delivery month.</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368C.05 Final Settlement Date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368C.06 Final and Daily Settlement and Settlement Prices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(a) Final settlement for contracts held to their maturity date is by cash settlement in U.S. dollars.</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(c)  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AC2496" w:rsidRPr="006B0747">
        <w:rPr>
          <w:rStyle w:val="FootnoteReference"/>
          <w:rFonts w:ascii="Times New Roman" w:hAnsi="Times New Roman" w:cs="Times New Roman"/>
          <w:u w:val="single"/>
        </w:rPr>
        <w:footnoteReference w:id="49"/>
      </w:r>
      <w:r w:rsidRPr="006B0747">
        <w:rPr>
          <w:rFonts w:ascii="Times New Roman" w:hAnsi="Times New Roman" w:cs="Times New Roman"/>
          <w:u w:val="single"/>
        </w:rPr>
        <w:t>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368C.07 Trading Algorithm</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5, the trading system shall execute orders within the trading system pursuant to the price-time priority execution algorithm.</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368C.08 Block Trade Minimum Quantity Threshold and Reporting Window</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10, block trades shall be permitted with a minimum quantity threshold of 5 contracts and the Reporting Window shall be fifteen minutes.</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368C.09 Order Price Limit Protection</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Pursuant to Chapter IV, Section 8, the Order Price Limits shall be $2.00 above and $2.00 below the Reference Price as defined in Chapter IV, Section 8.</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368C.10 Non-Reviewable Range</w:t>
      </w:r>
    </w:p>
    <w:p w:rsidR="00B13147" w:rsidRPr="006B0747" w:rsidRDefault="00B13147" w:rsidP="00B13147">
      <w:pPr>
        <w:spacing w:after="240" w:line="240" w:lineRule="auto"/>
        <w:rPr>
          <w:rFonts w:ascii="Times New Roman" w:hAnsi="Times New Roman" w:cs="Times New Roman"/>
          <w:u w:val="single"/>
        </w:rPr>
      </w:pPr>
      <w:r w:rsidRPr="006B0747">
        <w:rPr>
          <w:rFonts w:ascii="Times New Roman" w:hAnsi="Times New Roman" w:cs="Times New Roman"/>
          <w:u w:val="single"/>
        </w:rPr>
        <w:t>For purposes of Chapter V, Section 5, the non-reviewable range shall be from $2.00 above to $2.00 below the true market price for the Contract as set forth in the Exchange's Error Trade Policy.</w:t>
      </w:r>
    </w:p>
    <w:p w:rsidR="00B13147" w:rsidRPr="006B0747" w:rsidRDefault="00B13147" w:rsidP="00B13147">
      <w:pPr>
        <w:keepNext/>
        <w:spacing w:after="240" w:line="240" w:lineRule="auto"/>
        <w:rPr>
          <w:rFonts w:ascii="Times New Roman" w:hAnsi="Times New Roman" w:cs="Times New Roman"/>
          <w:b/>
          <w:u w:val="single"/>
        </w:rPr>
      </w:pPr>
      <w:r w:rsidRPr="006B0747">
        <w:rPr>
          <w:rFonts w:ascii="Times New Roman" w:hAnsi="Times New Roman" w:cs="Times New Roman"/>
          <w:b/>
          <w:u w:val="single"/>
        </w:rPr>
        <w:t>368C.11 Disclaimer</w:t>
      </w:r>
    </w:p>
    <w:p w:rsidR="00B13147" w:rsidRPr="006B0747" w:rsidRDefault="00B13147" w:rsidP="00B13147">
      <w:pPr>
        <w:spacing w:after="240" w:line="240" w:lineRule="auto"/>
        <w:rPr>
          <w:rFonts w:ascii="Times New Roman" w:hAnsi="Times New Roman" w:cs="Times New Roman"/>
        </w:rPr>
      </w:pPr>
      <w:r w:rsidRPr="006B0747">
        <w:rPr>
          <w:rFonts w:ascii="Times New Roman" w:hAnsi="Times New Roman" w:cs="Times New Roman"/>
          <w:u w:val="single"/>
        </w:rPr>
        <w:t>NEITHER NASDAQ FUTURES, INC. ("NFX"), ITS AFFILIATES NOR ISO-NE OR ITS AFFILIATES GUARANTEES THE ACCURACY NOR COMPLETENESS OF THE PRICE ASSESSMENT OR ANY OF THE DATA INCLUDED THEREIN. NFX, ITS AFFILIATES OR ISO-NE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ISO-NE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ISO-NE HAVE ANY LIABILITY FOR ANY LOST PROFITS OR INDIRECT, PUNITIVE, SPECIAL OR CONSEQUENTIAL DAMAGES (INCLUDING LOST PROFITS), EVEN IF NOTIFIED OF THE POSSIBILITY OF SUCH DAMAGES.</w:t>
      </w:r>
    </w:p>
    <w:p w:rsidR="00B13147" w:rsidRPr="006B0747" w:rsidRDefault="00B13147" w:rsidP="00B13147">
      <w:pPr>
        <w:spacing w:after="240" w:line="240" w:lineRule="auto"/>
        <w:rPr>
          <w:rFonts w:ascii="Times New Roman" w:hAnsi="Times New Roman" w:cs="Times New Roman"/>
        </w:rPr>
      </w:pPr>
    </w:p>
    <w:p w:rsidR="000E7BC3" w:rsidRPr="006B0747" w:rsidRDefault="000E7BC3" w:rsidP="00B13147">
      <w:pPr>
        <w:spacing w:after="240" w:line="240" w:lineRule="auto"/>
        <w:rPr>
          <w:rFonts w:ascii="Times New Roman" w:hAnsi="Times New Roman" w:cs="Times New Roman"/>
        </w:rPr>
      </w:pPr>
    </w:p>
    <w:sectPr w:rsidR="000E7BC3" w:rsidRPr="006B0747" w:rsidSect="009B4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9" w:rsidRDefault="00EF4819" w:rsidP="00307BD8">
      <w:pPr>
        <w:spacing w:after="0" w:line="240" w:lineRule="auto"/>
      </w:pPr>
      <w:r>
        <w:separator/>
      </w:r>
    </w:p>
  </w:endnote>
  <w:endnote w:type="continuationSeparator" w:id="0">
    <w:p w:rsidR="00EF4819" w:rsidRDefault="00EF4819" w:rsidP="003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Footer"/>
      <w:jc w:val="center"/>
    </w:pPr>
    <w:r>
      <w:t xml:space="preserve">- </w:t>
    </w:r>
    <w:r>
      <w:fldChar w:fldCharType="begin"/>
    </w:r>
    <w:r>
      <w:instrText xml:space="preserve"> PAGE   \* MERGEFORMAT </w:instrText>
    </w:r>
    <w:r>
      <w:fldChar w:fldCharType="separate"/>
    </w:r>
    <w:r w:rsidR="001E3503">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9" w:rsidRDefault="00EF4819" w:rsidP="00307BD8">
      <w:pPr>
        <w:spacing w:after="0" w:line="240" w:lineRule="auto"/>
      </w:pPr>
      <w:r>
        <w:separator/>
      </w:r>
    </w:p>
  </w:footnote>
  <w:footnote w:type="continuationSeparator" w:id="0">
    <w:p w:rsidR="00EF4819" w:rsidRDefault="00EF4819" w:rsidP="00307BD8">
      <w:pPr>
        <w:spacing w:after="0" w:line="240" w:lineRule="auto"/>
      </w:pPr>
      <w:r>
        <w:continuationSeparator/>
      </w:r>
    </w:p>
  </w:footnote>
  <w:footnote w:id="1">
    <w:p w:rsidR="006B0747" w:rsidRPr="006B0747" w:rsidRDefault="006B0747" w:rsidP="00307BD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2">
    <w:p w:rsidR="006B0747" w:rsidRPr="006B0747" w:rsidRDefault="006B0747" w:rsidP="00DD561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3">
    <w:p w:rsidR="006B0747" w:rsidRPr="006B0747" w:rsidRDefault="006B0747" w:rsidP="0096673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4">
    <w:p w:rsidR="006B0747" w:rsidRPr="006B0747" w:rsidRDefault="006B0747" w:rsidP="006A7DC6">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5">
    <w:p w:rsidR="006B0747" w:rsidRPr="006B0747" w:rsidRDefault="006B0747" w:rsidP="003F0D2B">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6">
    <w:p w:rsidR="006B0747" w:rsidRPr="006B0747" w:rsidRDefault="006B0747" w:rsidP="00DC62E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7">
    <w:p w:rsidR="006B0747" w:rsidRPr="006B0747" w:rsidRDefault="006B0747" w:rsidP="00636EA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BGE on the file. The webpage where the information is available could change.</w:t>
      </w:r>
    </w:p>
  </w:footnote>
  <w:footnote w:id="8">
    <w:p w:rsidR="006B0747" w:rsidRPr="006B0747" w:rsidRDefault="006B0747" w:rsidP="00927D35">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publishes the hourly LMP at the following page on its website: http://www.pjm.com/markets-and-operations/energy/day-ahead/lmpda.aspx. The respective LMP prices will be listed as PPL on the file. The webpage where the information is available could change.</w:t>
      </w:r>
    </w:p>
  </w:footnote>
  <w:footnote w:id="9">
    <w:p w:rsidR="006B0747" w:rsidRPr="006B0747" w:rsidRDefault="006B0747" w:rsidP="00DA565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0">
    <w:p w:rsidR="006B0747" w:rsidRPr="006B0747" w:rsidRDefault="006B0747" w:rsidP="00887C7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1">
    <w:p w:rsidR="006B0747" w:rsidRPr="006B0747" w:rsidRDefault="006B0747" w:rsidP="00E47F8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2">
    <w:p w:rsidR="006B0747" w:rsidRPr="006B0747" w:rsidRDefault="006B0747" w:rsidP="001D0FA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3">
    <w:p w:rsidR="006B0747" w:rsidRPr="006B0747" w:rsidRDefault="006B0747" w:rsidP="004B3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4">
    <w:p w:rsidR="006B0747" w:rsidRPr="006B0747" w:rsidRDefault="006B0747" w:rsidP="00142D4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PPL on the file. The webpage where the information is available could change.</w:t>
      </w:r>
    </w:p>
  </w:footnote>
  <w:footnote w:id="15">
    <w:p w:rsidR="006B0747" w:rsidRPr="006B0747" w:rsidRDefault="006B0747" w:rsidP="0021168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6">
    <w:p w:rsidR="006B0747" w:rsidRPr="006B0747" w:rsidRDefault="006B0747" w:rsidP="00F30F7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7">
    <w:p w:rsidR="006B0747" w:rsidRPr="006B0747" w:rsidRDefault="006B0747" w:rsidP="003222B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8">
    <w:p w:rsidR="006B0747" w:rsidRPr="006B0747" w:rsidRDefault="006B0747" w:rsidP="00E860D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19">
    <w:p w:rsidR="006B0747" w:rsidRPr="006B0747" w:rsidRDefault="006B0747" w:rsidP="00B55EF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6B0747" w:rsidRPr="006B0747" w:rsidRDefault="006B0747" w:rsidP="00BF39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1">
    <w:p w:rsidR="006B0747" w:rsidRPr="006B0747" w:rsidRDefault="006B0747" w:rsidP="002578F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COMED on the file. The webpage where the information is available could change.</w:t>
      </w:r>
    </w:p>
  </w:footnote>
  <w:footnote w:id="22">
    <w:p w:rsidR="006B0747" w:rsidRPr="006B0747" w:rsidRDefault="006B0747" w:rsidP="000B790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3">
    <w:p w:rsidR="006B0747" w:rsidRPr="006B0747" w:rsidRDefault="006B0747" w:rsidP="00C521BE">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4">
    <w:p w:rsidR="006B0747" w:rsidRPr="006B0747" w:rsidRDefault="006B0747" w:rsidP="00DF3D4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5">
    <w:p w:rsidR="006B0747" w:rsidRPr="006B0747" w:rsidRDefault="006B0747" w:rsidP="006D19A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6">
    <w:p w:rsidR="006B0747" w:rsidRPr="006B0747" w:rsidRDefault="006B0747" w:rsidP="00AB49B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7">
    <w:p w:rsidR="006B0747" w:rsidRPr="006B0747" w:rsidRDefault="006B0747" w:rsidP="009E023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AECO on the file. The webpage where the information is available could change.</w:t>
      </w:r>
    </w:p>
  </w:footnote>
  <w:footnote w:id="28">
    <w:p w:rsidR="006B0747" w:rsidRPr="006B0747" w:rsidRDefault="006B0747" w:rsidP="00C430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r>
    </w:p>
    <w:p w:rsidR="006B0747" w:rsidRPr="006B0747" w:rsidRDefault="006B0747" w:rsidP="00C43092">
      <w:pPr>
        <w:pStyle w:val="FootnoteText"/>
        <w:spacing w:after="240"/>
        <w:ind w:left="720" w:hanging="720"/>
        <w:rPr>
          <w:rFonts w:ascii="Times New Roman" w:hAnsi="Times New Roman" w:cs="Times New Roman"/>
          <w:u w:val="single"/>
        </w:rPr>
      </w:pPr>
      <w:r w:rsidRPr="006B0747">
        <w:rPr>
          <w:rFonts w:ascii="Times New Roman" w:hAnsi="Times New Roman" w:cs="Times New Roman"/>
          <w:u w:val="single"/>
        </w:rPr>
        <w:t>As of July 31, 2017 PJM publishes the hourly LMP at the following page on its website: http://www.pjm.com/markets-and-operations/energy/day-ahead/lmpda.aspx. The respective LMP prices will be listed as AECO on the file. The webpage where the information is available could change.</w:t>
      </w:r>
    </w:p>
    <w:p w:rsidR="006B0747" w:rsidRPr="006B0747" w:rsidRDefault="006B0747" w:rsidP="0093104F">
      <w:pPr>
        <w:pStyle w:val="FootnoteText"/>
        <w:spacing w:after="240"/>
        <w:ind w:left="720" w:hanging="720"/>
        <w:rPr>
          <w:rFonts w:ascii="Times New Roman" w:hAnsi="Times New Roman" w:cs="Times New Roman"/>
          <w:u w:val="single"/>
        </w:rPr>
      </w:pPr>
    </w:p>
  </w:footnote>
  <w:footnote w:id="29">
    <w:p w:rsidR="006B0747" w:rsidRPr="006B0747" w:rsidRDefault="006B0747" w:rsidP="0032679D">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0">
    <w:p w:rsidR="006B0747" w:rsidRPr="006B0747" w:rsidRDefault="006B0747" w:rsidP="00EB5694">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1">
    <w:p w:rsidR="006B0747" w:rsidRPr="006B0747" w:rsidRDefault="006B0747" w:rsidP="004D286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2">
    <w:p w:rsidR="006B0747" w:rsidRPr="006B0747" w:rsidRDefault="006B0747" w:rsidP="00F2643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3">
    <w:p w:rsidR="006B0747" w:rsidRPr="006B0747" w:rsidRDefault="006B0747" w:rsidP="006D5461">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4">
    <w:p w:rsidR="006B0747" w:rsidRPr="006B0747" w:rsidRDefault="006B0747" w:rsidP="0033437F">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5">
    <w:p w:rsidR="006B0747" w:rsidRPr="006B0747" w:rsidRDefault="006B0747" w:rsidP="003A6069">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FE OHIO on the file. The webpage where the information is available could change.</w:t>
      </w:r>
    </w:p>
  </w:footnote>
  <w:footnote w:id="36">
    <w:p w:rsidR="006B0747" w:rsidRPr="006B0747" w:rsidRDefault="006B0747" w:rsidP="00C17B98">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7">
    <w:p w:rsidR="006B0747" w:rsidRPr="006B0747" w:rsidRDefault="006B0747" w:rsidP="00E9386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8">
    <w:p w:rsidR="006B0747" w:rsidRPr="006B0747" w:rsidRDefault="006B0747" w:rsidP="00F1299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39">
    <w:p w:rsidR="006B0747" w:rsidRPr="006B0747" w:rsidRDefault="006B0747" w:rsidP="00797F9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0">
    <w:p w:rsidR="006B0747" w:rsidRPr="006B0747" w:rsidRDefault="006B0747" w:rsidP="00432C3A">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1">
    <w:p w:rsidR="006B0747" w:rsidRPr="006B0747" w:rsidRDefault="006B0747" w:rsidP="0034416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2">
    <w:p w:rsidR="006B0747" w:rsidRPr="006B0747" w:rsidRDefault="006B0747" w:rsidP="002371A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PJM publishes the hourly LMP at the following page on its website: http://www.pjm.com/markets-and-operations/energy/day-ahead/lmpda.aspx. The respective LMP prices will be listed as METED on the file. The webpage where the information is available could change.</w:t>
      </w:r>
    </w:p>
  </w:footnote>
  <w:footnote w:id="43">
    <w:p w:rsidR="006B0747" w:rsidRPr="006B0747" w:rsidRDefault="006B0747" w:rsidP="004C49F0">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4">
    <w:p w:rsidR="006B0747" w:rsidRPr="006B0747" w:rsidRDefault="006B0747" w:rsidP="00C17CAC">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5">
    <w:p w:rsidR="006B0747" w:rsidRPr="006B0747" w:rsidRDefault="006B0747" w:rsidP="00766633">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6">
    <w:p w:rsidR="006B0747" w:rsidRPr="006B0747" w:rsidRDefault="006B0747" w:rsidP="004538D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7">
    <w:p w:rsidR="006B0747" w:rsidRPr="006B0747" w:rsidRDefault="006B0747" w:rsidP="00E20042">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8">
    <w:p w:rsidR="006B0747" w:rsidRPr="006B0747" w:rsidRDefault="006B0747" w:rsidP="00B13147">
      <w:pPr>
        <w:pStyle w:val="FootnoteText"/>
        <w:spacing w:after="240"/>
        <w:ind w:left="720" w:hanging="720"/>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w:t>
      </w:r>
      <w:r w:rsidRPr="006B0747">
        <w:rPr>
          <w:rFonts w:ascii="Times New Roman" w:hAnsi="Times New Roman" w:cs="Times New Roman"/>
          <w:u w:val="single"/>
        </w:rPr>
        <w:tab/>
        <w:t>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49">
    <w:p w:rsidR="006B0747" w:rsidRPr="006B0747" w:rsidRDefault="006B0747">
      <w:pPr>
        <w:pStyle w:val="FootnoteText"/>
        <w:rPr>
          <w:rFonts w:ascii="Times New Roman" w:hAnsi="Times New Roman" w:cs="Times New Roman"/>
          <w:u w:val="single"/>
        </w:rPr>
      </w:pPr>
      <w:r w:rsidRPr="006B0747">
        <w:rPr>
          <w:rStyle w:val="FootnoteReference"/>
          <w:rFonts w:ascii="Times New Roman" w:hAnsi="Times New Roman" w:cs="Times New Roman"/>
          <w:u w:val="single"/>
        </w:rPr>
        <w:footnoteRef/>
      </w:r>
      <w:r w:rsidRPr="006B0747">
        <w:rPr>
          <w:rFonts w:ascii="Times New Roman" w:hAnsi="Times New Roman" w:cs="Times New Roman"/>
          <w:u w:val="single"/>
        </w:rPr>
        <w:t xml:space="preserve"> As of July 31, 2017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47" w:rsidRDefault="006B0747" w:rsidP="001D3D07">
    <w:pPr>
      <w:pStyle w:val="Header"/>
    </w:pPr>
    <w:r w:rsidRPr="005B633C">
      <w:t>NFX Zonal Products</w:t>
    </w:r>
    <w:r>
      <w:t xml:space="preserve"> </w:t>
    </w:r>
  </w:p>
  <w:p w:rsidR="006B0747" w:rsidRDefault="006B0747" w:rsidP="001D3D07">
    <w:pPr>
      <w:pStyle w:val="Header"/>
    </w:pPr>
    <w:r>
      <w:t>August 7, 2017</w:t>
    </w:r>
  </w:p>
  <w:p w:rsidR="006B0747" w:rsidRDefault="006B0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3"/>
    <w:rsid w:val="00064449"/>
    <w:rsid w:val="000B7902"/>
    <w:rsid w:val="000E7BC3"/>
    <w:rsid w:val="00142D41"/>
    <w:rsid w:val="001D0FAD"/>
    <w:rsid w:val="001D3D07"/>
    <w:rsid w:val="001E3503"/>
    <w:rsid w:val="00211680"/>
    <w:rsid w:val="002371A0"/>
    <w:rsid w:val="002578F2"/>
    <w:rsid w:val="002F77D1"/>
    <w:rsid w:val="00307BD8"/>
    <w:rsid w:val="003222B2"/>
    <w:rsid w:val="0032679D"/>
    <w:rsid w:val="0033437F"/>
    <w:rsid w:val="00344167"/>
    <w:rsid w:val="003A6069"/>
    <w:rsid w:val="003F0D2B"/>
    <w:rsid w:val="00432C3A"/>
    <w:rsid w:val="004538D7"/>
    <w:rsid w:val="004B3167"/>
    <w:rsid w:val="004C49F0"/>
    <w:rsid w:val="004D2868"/>
    <w:rsid w:val="005A3392"/>
    <w:rsid w:val="005C1958"/>
    <w:rsid w:val="00636EAF"/>
    <w:rsid w:val="00682DE7"/>
    <w:rsid w:val="006A7DC6"/>
    <w:rsid w:val="006B0747"/>
    <w:rsid w:val="006D19A1"/>
    <w:rsid w:val="006D5461"/>
    <w:rsid w:val="006F30EA"/>
    <w:rsid w:val="00766633"/>
    <w:rsid w:val="00797F92"/>
    <w:rsid w:val="007F06C3"/>
    <w:rsid w:val="00887C70"/>
    <w:rsid w:val="00927D35"/>
    <w:rsid w:val="0093104F"/>
    <w:rsid w:val="00953879"/>
    <w:rsid w:val="00966734"/>
    <w:rsid w:val="009B4623"/>
    <w:rsid w:val="009E0230"/>
    <w:rsid w:val="00A3701F"/>
    <w:rsid w:val="00A814B8"/>
    <w:rsid w:val="00AB49B8"/>
    <w:rsid w:val="00AC2496"/>
    <w:rsid w:val="00B13147"/>
    <w:rsid w:val="00B55EF7"/>
    <w:rsid w:val="00BF3998"/>
    <w:rsid w:val="00C17B98"/>
    <w:rsid w:val="00C17CAC"/>
    <w:rsid w:val="00C43092"/>
    <w:rsid w:val="00C521BE"/>
    <w:rsid w:val="00C77EEA"/>
    <w:rsid w:val="00D313C7"/>
    <w:rsid w:val="00D402C9"/>
    <w:rsid w:val="00D622F1"/>
    <w:rsid w:val="00D928E4"/>
    <w:rsid w:val="00DA5657"/>
    <w:rsid w:val="00DB2B31"/>
    <w:rsid w:val="00DC62EA"/>
    <w:rsid w:val="00DD5617"/>
    <w:rsid w:val="00DF3D4F"/>
    <w:rsid w:val="00E20042"/>
    <w:rsid w:val="00E47F82"/>
    <w:rsid w:val="00E860D1"/>
    <w:rsid w:val="00E93862"/>
    <w:rsid w:val="00EB5694"/>
    <w:rsid w:val="00EF4819"/>
    <w:rsid w:val="00F1299C"/>
    <w:rsid w:val="00F2643F"/>
    <w:rsid w:val="00F30F77"/>
    <w:rsid w:val="00F9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2616-4129-4731-945B-FF3EF4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D8"/>
    <w:rPr>
      <w:sz w:val="20"/>
      <w:szCs w:val="20"/>
    </w:rPr>
  </w:style>
  <w:style w:type="character" w:styleId="FootnoteReference">
    <w:name w:val="footnote reference"/>
    <w:basedOn w:val="DefaultParagraphFont"/>
    <w:uiPriority w:val="99"/>
    <w:semiHidden/>
    <w:unhideWhenUsed/>
    <w:rsid w:val="00307BD8"/>
    <w:rPr>
      <w:vertAlign w:val="superscript"/>
    </w:rPr>
  </w:style>
  <w:style w:type="table" w:styleId="TableGrid">
    <w:name w:val="Table Grid"/>
    <w:basedOn w:val="TableNormal"/>
    <w:uiPriority w:val="59"/>
    <w:rsid w:val="001D3D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D07"/>
  </w:style>
  <w:style w:type="paragraph" w:styleId="Footer">
    <w:name w:val="footer"/>
    <w:basedOn w:val="Normal"/>
    <w:link w:val="FooterChar"/>
    <w:uiPriority w:val="99"/>
    <w:unhideWhenUsed/>
    <w:rsid w:val="001D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D07"/>
  </w:style>
  <w:style w:type="character" w:styleId="CommentReference">
    <w:name w:val="annotation reference"/>
    <w:basedOn w:val="DefaultParagraphFont"/>
    <w:uiPriority w:val="99"/>
    <w:semiHidden/>
    <w:unhideWhenUsed/>
    <w:rsid w:val="00D402C9"/>
    <w:rPr>
      <w:sz w:val="16"/>
      <w:szCs w:val="16"/>
    </w:rPr>
  </w:style>
  <w:style w:type="paragraph" w:styleId="CommentText">
    <w:name w:val="annotation text"/>
    <w:basedOn w:val="Normal"/>
    <w:link w:val="CommentTextChar"/>
    <w:uiPriority w:val="99"/>
    <w:semiHidden/>
    <w:unhideWhenUsed/>
    <w:rsid w:val="00D402C9"/>
    <w:pPr>
      <w:spacing w:line="240" w:lineRule="auto"/>
    </w:pPr>
    <w:rPr>
      <w:sz w:val="20"/>
      <w:szCs w:val="20"/>
    </w:rPr>
  </w:style>
  <w:style w:type="character" w:customStyle="1" w:styleId="CommentTextChar">
    <w:name w:val="Comment Text Char"/>
    <w:basedOn w:val="DefaultParagraphFont"/>
    <w:link w:val="CommentText"/>
    <w:uiPriority w:val="99"/>
    <w:semiHidden/>
    <w:rsid w:val="00D402C9"/>
    <w:rPr>
      <w:sz w:val="20"/>
      <w:szCs w:val="20"/>
    </w:rPr>
  </w:style>
  <w:style w:type="paragraph" w:styleId="CommentSubject">
    <w:name w:val="annotation subject"/>
    <w:basedOn w:val="CommentText"/>
    <w:next w:val="CommentText"/>
    <w:link w:val="CommentSubjectChar"/>
    <w:uiPriority w:val="99"/>
    <w:semiHidden/>
    <w:unhideWhenUsed/>
    <w:rsid w:val="00D402C9"/>
    <w:rPr>
      <w:b/>
      <w:bCs/>
    </w:rPr>
  </w:style>
  <w:style w:type="character" w:customStyle="1" w:styleId="CommentSubjectChar">
    <w:name w:val="Comment Subject Char"/>
    <w:basedOn w:val="CommentTextChar"/>
    <w:link w:val="CommentSubject"/>
    <w:uiPriority w:val="99"/>
    <w:semiHidden/>
    <w:rsid w:val="00D402C9"/>
    <w:rPr>
      <w:b/>
      <w:bCs/>
      <w:sz w:val="20"/>
      <w:szCs w:val="20"/>
    </w:rPr>
  </w:style>
  <w:style w:type="paragraph" w:styleId="BalloonText">
    <w:name w:val="Balloon Text"/>
    <w:basedOn w:val="Normal"/>
    <w:link w:val="BalloonTextChar"/>
    <w:uiPriority w:val="99"/>
    <w:semiHidden/>
    <w:unhideWhenUsed/>
    <w:rsid w:val="00D4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750fcd58-593b-4d7d-aff5-17c487f90dcd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2017-08-08T16:43:36+00:00</Document_x0020_Date>
    <Document_x0020_No xmlns="4b47aac5-4c46-444f-8595-ce09b406fc61">32526</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C32D363D-D3DD-42FD-8B64-7F5581A95F6E}"/>
</file>

<file path=customXml/itemProps2.xml><?xml version="1.0" encoding="utf-8"?>
<ds:datastoreItem xmlns:ds="http://schemas.openxmlformats.org/officeDocument/2006/customXml" ds:itemID="{EF3CD885-0B48-4C29-9921-1C31A577B7F7}"/>
</file>

<file path=customXml/itemProps3.xml><?xml version="1.0" encoding="utf-8"?>
<ds:datastoreItem xmlns:ds="http://schemas.openxmlformats.org/officeDocument/2006/customXml" ds:itemID="{D1B41027-ED74-4943-8EAF-307EA93077D4}"/>
</file>

<file path=customXml/itemProps4.xml><?xml version="1.0" encoding="utf-8"?>
<ds:datastoreItem xmlns:ds="http://schemas.openxmlformats.org/officeDocument/2006/customXml" ds:itemID="{E06071FB-7307-42D6-88AA-1DA32D89FF57}"/>
</file>

<file path=customXml/itemProps5.xml><?xml version="1.0" encoding="utf-8"?>
<ds:datastoreItem xmlns:ds="http://schemas.openxmlformats.org/officeDocument/2006/customXml" ds:itemID="{58FAD764-AF59-4248-8C4C-4635D2AEA929}"/>
</file>

<file path=docProps/app.xml><?xml version="1.0" encoding="utf-8"?>
<Properties xmlns="http://schemas.openxmlformats.org/officeDocument/2006/extended-properties" xmlns:vt="http://schemas.openxmlformats.org/officeDocument/2006/docPropsVTypes">
  <Template>Normal</Template>
  <TotalTime>6</TotalTime>
  <Pages>1</Pages>
  <Words>33206</Words>
  <Characters>189280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222042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Shari Bradford</dc:creator>
  <cp:lastModifiedBy>Aravind Menon</cp:lastModifiedBy>
  <cp:revision>6</cp:revision>
  <dcterms:created xsi:type="dcterms:W3CDTF">2017-08-04T16:14:00Z</dcterms:created>
  <dcterms:modified xsi:type="dcterms:W3CDTF">2017-08-07T15:48:00Z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4135300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