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5864312e-7a89-4e57-accc-9a8b123402cb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2017-08-08T17:46:52+00:00</Document_x0020_Date>
    <Document_x0020_No xmlns="4b47aac5-4c46-444f-8595-ce09b406fc61">32619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F10C1F1-0FC5-4DCA-A6DB-26FC259396AB}"/>
</file>

<file path=customXml/itemProps2.xml><?xml version="1.0" encoding="utf-8"?>
<ds:datastoreItem xmlns:ds="http://schemas.openxmlformats.org/officeDocument/2006/customXml" ds:itemID="{FE5D443E-DAA4-4D2F-812B-4B8E3708E240}"/>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DA1AB9A1-18ED-4BB7-AF7E-9ACF04399671}"/>
</file>

<file path=customXml/itemProps5.xml><?xml version="1.0" encoding="utf-8"?>
<ds:datastoreItem xmlns:ds="http://schemas.openxmlformats.org/officeDocument/2006/customXml" ds:itemID="{7FC87A8C-03A9-431D-9AA7-B75063DC7B42}"/>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