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71c3e834-b7f2-43fe-a33c-9f9f1eebb347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2018-10-04T14:39:17+00:00</Document_x0020_Date>
    <Document_x0020_No xmlns="4b47aac5-4c46-444f-8595-ce09b406fc61">41775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3002-3BCB-47DB-8481-7E60D70BA0B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9DFF5C9D-0DAC-4D32-A65E-97920E4E7DB5}"/>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