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A07E82"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6</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7B1577" w:rsidRPr="007B1577">
        <w:rPr>
          <w:rFonts w:ascii="Times New Roman" w:eastAsia="Times New Roman" w:hAnsi="Times New Roman" w:cs="Times New Roman"/>
          <w:b/>
          <w:bCs/>
          <w:sz w:val="24"/>
          <w:szCs w:val="24"/>
        </w:rPr>
        <w:t xml:space="preserve">NFX Options on </w:t>
      </w:r>
      <w:r w:rsidR="0000362A">
        <w:rPr>
          <w:rFonts w:ascii="Times New Roman" w:eastAsia="Times New Roman" w:hAnsi="Times New Roman" w:cs="Times New Roman"/>
          <w:b/>
          <w:bCs/>
          <w:sz w:val="24"/>
          <w:szCs w:val="24"/>
        </w:rPr>
        <w:t xml:space="preserve">WTI and Brent </w:t>
      </w:r>
      <w:r w:rsidR="006F469F">
        <w:rPr>
          <w:rFonts w:ascii="Times New Roman" w:eastAsia="Times New Roman" w:hAnsi="Times New Roman" w:cs="Times New Roman"/>
          <w:b/>
          <w:bCs/>
          <w:sz w:val="24"/>
          <w:szCs w:val="24"/>
        </w:rPr>
        <w:t xml:space="preserve">1st </w:t>
      </w:r>
      <w:r w:rsidR="0000362A">
        <w:rPr>
          <w:rFonts w:ascii="Times New Roman" w:eastAsia="Times New Roman" w:hAnsi="Times New Roman" w:cs="Times New Roman"/>
          <w:b/>
          <w:bCs/>
          <w:sz w:val="24"/>
          <w:szCs w:val="24"/>
        </w:rPr>
        <w:t>Line Financial Futures</w:t>
      </w:r>
      <w:r w:rsidR="007B1577" w:rsidRPr="007B1577">
        <w:rPr>
          <w:rFonts w:ascii="Times New Roman" w:eastAsia="Times New Roman" w:hAnsi="Times New Roman" w:cs="Times New Roman"/>
          <w:b/>
          <w:bCs/>
          <w:sz w:val="24"/>
          <w:szCs w:val="24"/>
        </w:rPr>
        <w:t xml:space="preserve"> </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057E9">
        <w:rPr>
          <w:rFonts w:ascii="Times New Roman" w:eastAsia="Calibri" w:hAnsi="Times New Roman" w:cs="Times New Roman"/>
          <w:b/>
          <w:sz w:val="24"/>
          <w:szCs w:val="24"/>
          <w:u w:val="single"/>
        </w:rPr>
        <w:t>90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B1577"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7B1577" w:rsidRPr="007B1577">
        <w:rPr>
          <w:rFonts w:ascii="Times New Roman" w:eastAsia="Calibri" w:hAnsi="Times New Roman" w:cs="Times New Roman"/>
          <w:sz w:val="24"/>
          <w:szCs w:val="24"/>
        </w:rPr>
        <w:t xml:space="preserve">NFX Options on NFX </w:t>
      </w:r>
      <w:r w:rsidR="004D08BE">
        <w:rPr>
          <w:rFonts w:ascii="Times New Roman" w:eastAsia="Calibri" w:hAnsi="Times New Roman" w:cs="Times New Roman"/>
          <w:sz w:val="24"/>
          <w:szCs w:val="24"/>
        </w:rPr>
        <w:t xml:space="preserve">Brent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w:t>
      </w:r>
      <w:r w:rsidR="007B1577">
        <w:rPr>
          <w:rFonts w:ascii="Times New Roman" w:eastAsia="Calibri" w:hAnsi="Times New Roman" w:cs="Times New Roman"/>
          <w:sz w:val="24"/>
          <w:szCs w:val="24"/>
        </w:rPr>
        <w:t>(the “</w:t>
      </w:r>
      <w:r w:rsidR="004D08BE">
        <w:rPr>
          <w:rFonts w:ascii="Times New Roman" w:eastAsia="Calibri" w:hAnsi="Times New Roman" w:cs="Times New Roman"/>
          <w:sz w:val="24"/>
          <w:szCs w:val="24"/>
          <w:u w:val="single"/>
        </w:rPr>
        <w:t xml:space="preserve">Brent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7B1577" w:rsidRPr="007B1577">
        <w:rPr>
          <w:rFonts w:ascii="Times New Roman" w:eastAsia="Calibri" w:hAnsi="Times New Roman" w:cs="Times New Roman"/>
          <w:sz w:val="24"/>
          <w:szCs w:val="24"/>
          <w:u w:val="single"/>
        </w:rPr>
        <w:t>Options</w:t>
      </w:r>
      <w:r w:rsidR="007B1577">
        <w:rPr>
          <w:rFonts w:ascii="Times New Roman" w:eastAsia="Calibri" w:hAnsi="Times New Roman" w:cs="Times New Roman"/>
          <w:sz w:val="24"/>
          <w:szCs w:val="24"/>
        </w:rPr>
        <w:t>”)</w:t>
      </w:r>
      <w:r w:rsidR="0000362A">
        <w:rPr>
          <w:rFonts w:ascii="Times New Roman" w:eastAsia="Calibri" w:hAnsi="Times New Roman" w:cs="Times New Roman"/>
          <w:sz w:val="24"/>
          <w:szCs w:val="24"/>
        </w:rPr>
        <w:t xml:space="preserve"> and the NFX </w:t>
      </w:r>
      <w:r w:rsidR="004D08BE">
        <w:rPr>
          <w:rFonts w:ascii="Times New Roman" w:eastAsia="Calibri" w:hAnsi="Times New Roman" w:cs="Times New Roman"/>
          <w:sz w:val="24"/>
          <w:szCs w:val="24"/>
        </w:rPr>
        <w:t xml:space="preserve">WTI </w:t>
      </w:r>
      <w:r w:rsidR="0000362A">
        <w:rPr>
          <w:rFonts w:ascii="Times New Roman" w:eastAsia="Calibri" w:hAnsi="Times New Roman" w:cs="Times New Roman"/>
          <w:sz w:val="24"/>
          <w:szCs w:val="24"/>
        </w:rPr>
        <w:t>1</w:t>
      </w:r>
      <w:r w:rsidR="00DD6CFD">
        <w:rPr>
          <w:rFonts w:ascii="Times New Roman" w:eastAsia="Calibri" w:hAnsi="Times New Roman" w:cs="Times New Roman"/>
          <w:sz w:val="24"/>
          <w:szCs w:val="24"/>
        </w:rPr>
        <w:t>st</w:t>
      </w:r>
      <w:r w:rsidR="0000362A">
        <w:rPr>
          <w:rFonts w:ascii="Times New Roman" w:eastAsia="Calibri" w:hAnsi="Times New Roman" w:cs="Times New Roman"/>
          <w:sz w:val="24"/>
          <w:szCs w:val="24"/>
        </w:rPr>
        <w:t xml:space="preserve"> Line Financial Futures (the “</w:t>
      </w:r>
      <w:r w:rsidR="004D08BE">
        <w:rPr>
          <w:rFonts w:ascii="Times New Roman" w:eastAsia="Calibri" w:hAnsi="Times New Roman" w:cs="Times New Roman"/>
          <w:sz w:val="24"/>
          <w:szCs w:val="24"/>
          <w:u w:val="single"/>
        </w:rPr>
        <w:t>WTI</w:t>
      </w:r>
      <w:r w:rsidR="0000362A" w:rsidRPr="0000362A">
        <w:rPr>
          <w:rFonts w:ascii="Times New Roman" w:eastAsia="Calibri" w:hAnsi="Times New Roman" w:cs="Times New Roman"/>
          <w:sz w:val="24"/>
          <w:szCs w:val="24"/>
          <w:u w:val="single"/>
        </w:rPr>
        <w:t xml:space="preserve"> </w:t>
      </w:r>
      <w:r w:rsidR="007739C3">
        <w:rPr>
          <w:rFonts w:ascii="Times New Roman" w:eastAsia="Calibri" w:hAnsi="Times New Roman" w:cs="Times New Roman"/>
          <w:sz w:val="24"/>
          <w:szCs w:val="24"/>
          <w:u w:val="single"/>
        </w:rPr>
        <w:t>1st</w:t>
      </w:r>
      <w:r w:rsidR="000475DC">
        <w:rPr>
          <w:rFonts w:ascii="Times New Roman" w:eastAsia="Calibri" w:hAnsi="Times New Roman" w:cs="Times New Roman"/>
          <w:sz w:val="24"/>
          <w:szCs w:val="24"/>
          <w:u w:val="single"/>
        </w:rPr>
        <w:t xml:space="preserve"> Line </w:t>
      </w:r>
      <w:r w:rsidR="0000362A" w:rsidRPr="0000362A">
        <w:rPr>
          <w:rFonts w:ascii="Times New Roman" w:eastAsia="Calibri" w:hAnsi="Times New Roman" w:cs="Times New Roman"/>
          <w:sz w:val="24"/>
          <w:szCs w:val="24"/>
          <w:u w:val="single"/>
        </w:rPr>
        <w:t>Options</w:t>
      </w:r>
      <w:r w:rsidR="0000362A">
        <w:rPr>
          <w:rFonts w:ascii="Times New Roman" w:eastAsia="Calibri" w:hAnsi="Times New Roman" w:cs="Times New Roman"/>
          <w:sz w:val="24"/>
          <w:szCs w:val="24"/>
        </w:rPr>
        <w:t>”)</w:t>
      </w:r>
      <w:r w:rsidR="00CF1DF1">
        <w:rPr>
          <w:rFonts w:ascii="Times New Roman" w:eastAsia="Calibri" w:hAnsi="Times New Roman" w:cs="Times New Roman"/>
          <w:sz w:val="24"/>
          <w:szCs w:val="24"/>
        </w:rPr>
        <w:t>, (collectively the “</w:t>
      </w:r>
      <w:r w:rsidR="007739C3">
        <w:rPr>
          <w:rFonts w:ascii="Times New Roman" w:eastAsia="Calibri" w:hAnsi="Times New Roman" w:cs="Times New Roman"/>
          <w:sz w:val="24"/>
          <w:szCs w:val="24"/>
        </w:rPr>
        <w:t>1st</w:t>
      </w:r>
      <w:r w:rsidR="00CF1DF1">
        <w:rPr>
          <w:rFonts w:ascii="Times New Roman" w:eastAsia="Calibri" w:hAnsi="Times New Roman" w:cs="Times New Roman"/>
          <w:sz w:val="24"/>
          <w:szCs w:val="24"/>
        </w:rPr>
        <w:t xml:space="preserve"> Line Options”)</w:t>
      </w:r>
      <w:r w:rsidR="00304F17">
        <w:rPr>
          <w:rFonts w:ascii="Times New Roman" w:eastAsia="Calibri" w:hAnsi="Times New Roman" w:cs="Times New Roman"/>
          <w:sz w:val="24"/>
          <w:szCs w:val="24"/>
        </w:rPr>
        <w:t xml:space="preserve">.  </w:t>
      </w:r>
      <w:r w:rsidR="007B1577">
        <w:rPr>
          <w:rFonts w:ascii="Times New Roman" w:eastAsia="Calibri" w:hAnsi="Times New Roman" w:cs="Times New Roman"/>
          <w:sz w:val="24"/>
          <w:szCs w:val="24"/>
        </w:rPr>
        <w:t xml:space="preserve">The symbol for </w:t>
      </w:r>
      <w:r w:rsidR="004D08BE">
        <w:rPr>
          <w:rFonts w:ascii="Times New Roman" w:eastAsia="Calibri" w:hAnsi="Times New Roman" w:cs="Times New Roman"/>
          <w:sz w:val="24"/>
          <w:szCs w:val="24"/>
        </w:rPr>
        <w:t>Brent</w:t>
      </w:r>
      <w:r w:rsidR="0000362A">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will be </w:t>
      </w:r>
      <w:r w:rsidR="00AF4E6B">
        <w:rPr>
          <w:rFonts w:ascii="Times New Roman" w:eastAsia="Calibri" w:hAnsi="Times New Roman" w:cs="Times New Roman"/>
          <w:sz w:val="24"/>
          <w:szCs w:val="24"/>
        </w:rPr>
        <w:t>I</w:t>
      </w:r>
      <w:r w:rsidR="004D08BE">
        <w:rPr>
          <w:rFonts w:ascii="Times New Roman" w:eastAsia="Calibri" w:hAnsi="Times New Roman" w:cs="Times New Roman"/>
          <w:sz w:val="24"/>
          <w:szCs w:val="24"/>
        </w:rPr>
        <w:t>O</w:t>
      </w:r>
      <w:r w:rsidR="00AF4E6B">
        <w:rPr>
          <w:rFonts w:ascii="Times New Roman" w:eastAsia="Calibri" w:hAnsi="Times New Roman" w:cs="Times New Roman"/>
          <w:sz w:val="24"/>
          <w:szCs w:val="24"/>
        </w:rPr>
        <w:t xml:space="preserve">Q, and the symbol for the </w:t>
      </w:r>
      <w:r w:rsidR="004D08BE">
        <w:rPr>
          <w:rFonts w:ascii="Times New Roman" w:eastAsia="Calibri" w:hAnsi="Times New Roman" w:cs="Times New Roman"/>
          <w:sz w:val="24"/>
          <w:szCs w:val="24"/>
        </w:rPr>
        <w:t xml:space="preserve">WTI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sidR="00AF4E6B">
        <w:rPr>
          <w:rFonts w:ascii="Times New Roman" w:eastAsia="Calibri" w:hAnsi="Times New Roman" w:cs="Times New Roman"/>
          <w:sz w:val="24"/>
          <w:szCs w:val="24"/>
        </w:rPr>
        <w:t xml:space="preserve">Options will be </w:t>
      </w:r>
      <w:r w:rsidR="004D08BE">
        <w:rPr>
          <w:rFonts w:ascii="Times New Roman" w:eastAsia="Calibri" w:hAnsi="Times New Roman" w:cs="Times New Roman"/>
          <w:sz w:val="24"/>
          <w:szCs w:val="24"/>
        </w:rPr>
        <w:t>T</w:t>
      </w:r>
      <w:r w:rsidR="00AF4E6B">
        <w:rPr>
          <w:rFonts w:ascii="Times New Roman" w:eastAsia="Calibri" w:hAnsi="Times New Roman" w:cs="Times New Roman"/>
          <w:sz w:val="24"/>
          <w:szCs w:val="24"/>
        </w:rPr>
        <w:t>IQ</w:t>
      </w:r>
      <w:r w:rsidR="007B1577">
        <w:rPr>
          <w:rFonts w:ascii="Times New Roman" w:eastAsia="Calibri" w:hAnsi="Times New Roman" w:cs="Times New Roman"/>
          <w:sz w:val="24"/>
          <w:szCs w:val="24"/>
        </w:rPr>
        <w:t xml:space="preserve">.  </w:t>
      </w:r>
    </w:p>
    <w:p w:rsidR="00711AE9" w:rsidRDefault="00711AE9" w:rsidP="005D6916">
      <w:pPr>
        <w:pStyle w:val="NoSpacing"/>
        <w:ind w:firstLine="1310"/>
        <w:rPr>
          <w:rFonts w:ascii="Times New Roman" w:eastAsia="Calibri"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w:t>
      </w:r>
      <w:r w:rsidR="004D08BE">
        <w:rPr>
          <w:rFonts w:ascii="Times New Roman" w:eastAsia="Calibri" w:hAnsi="Times New Roman" w:cs="Times New Roman"/>
          <w:sz w:val="24"/>
          <w:szCs w:val="24"/>
        </w:rPr>
        <w:t xml:space="preserve"> </w:t>
      </w:r>
      <w:r w:rsidR="00B25CED">
        <w:rPr>
          <w:rFonts w:ascii="Times New Roman" w:eastAsia="Calibri" w:hAnsi="Times New Roman" w:cs="Times New Roman"/>
          <w:sz w:val="24"/>
          <w:szCs w:val="24"/>
        </w:rPr>
        <w:t>Options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7B1577">
        <w:rPr>
          <w:rFonts w:ascii="Times New Roman" w:eastAsia="Calibri" w:hAnsi="Times New Roman" w:cs="Times New Roman"/>
          <w:sz w:val="24"/>
          <w:szCs w:val="24"/>
        </w:rPr>
        <w:t>chapter</w:t>
      </w:r>
      <w:r w:rsidR="004D08BE">
        <w:rPr>
          <w:rFonts w:ascii="Times New Roman" w:eastAsia="Calibri" w:hAnsi="Times New Roman" w:cs="Times New Roman"/>
          <w:sz w:val="24"/>
          <w:szCs w:val="24"/>
        </w:rPr>
        <w:t>s</w:t>
      </w:r>
      <w:r w:rsidR="007B1577">
        <w:rPr>
          <w:rFonts w:ascii="Times New Roman" w:eastAsia="Calibri" w:hAnsi="Times New Roman" w:cs="Times New Roman"/>
          <w:sz w:val="24"/>
          <w:szCs w:val="24"/>
        </w:rPr>
        <w:t xml:space="preserve"> </w:t>
      </w:r>
      <w:r w:rsidR="004D08BE">
        <w:rPr>
          <w:rFonts w:ascii="Times New Roman" w:eastAsia="Calibri" w:hAnsi="Times New Roman" w:cs="Times New Roman"/>
          <w:sz w:val="24"/>
          <w:szCs w:val="24"/>
        </w:rPr>
        <w:t>101C</w:t>
      </w:r>
      <w:r w:rsidR="00CF5D12">
        <w:rPr>
          <w:rStyle w:val="FootnoteReference"/>
          <w:rFonts w:ascii="Times New Roman" w:eastAsia="Calibri" w:hAnsi="Times New Roman" w:cs="Times New Roman"/>
          <w:sz w:val="24"/>
          <w:szCs w:val="24"/>
        </w:rPr>
        <w:footnoteReference w:id="1"/>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4D08BE">
        <w:rPr>
          <w:rFonts w:ascii="Times New Roman" w:eastAsia="Calibri" w:hAnsi="Times New Roman" w:cs="Times New Roman"/>
          <w:sz w:val="24"/>
          <w:szCs w:val="24"/>
        </w:rPr>
        <w:t xml:space="preserve">103D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w:t>
      </w:r>
      <w:r w:rsidR="008A6F33">
        <w:rPr>
          <w:rFonts w:ascii="Times New Roman" w:hAnsi="Times New Roman" w:cs="Times New Roman"/>
          <w:sz w:val="24"/>
          <w:szCs w:val="24"/>
        </w:rPr>
        <w:lastRenderedPageBreak/>
        <w:t>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7245AD">
        <w:rPr>
          <w:rFonts w:ascii="Times New Roman" w:hAnsi="Times New Roman" w:cs="Times New Roman"/>
          <w:sz w:val="24"/>
          <w:szCs w:val="24"/>
        </w:rPr>
        <w:t xml:space="preserve">WTI and Brent </w:t>
      </w:r>
      <w:r w:rsidR="004D08BE">
        <w:rPr>
          <w:rFonts w:ascii="Times New Roman" w:hAnsi="Times New Roman" w:cs="Times New Roman"/>
          <w:sz w:val="24"/>
          <w:szCs w:val="24"/>
        </w:rPr>
        <w:t xml:space="preserve">crude </w:t>
      </w:r>
      <w:r w:rsidR="007245AD">
        <w:rPr>
          <w:rFonts w:ascii="Times New Roman" w:hAnsi="Times New Roman" w:cs="Times New Roman"/>
          <w:sz w:val="24"/>
          <w:szCs w:val="24"/>
        </w:rPr>
        <w:t xml:space="preserve">oil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9B56C3" w:rsidRPr="001B6ADA" w:rsidRDefault="009B56C3" w:rsidP="009B56C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anticipates listing the </w:t>
      </w:r>
      <w:r w:rsidR="007739C3">
        <w:rPr>
          <w:rFonts w:ascii="Times New Roman" w:eastAsia="Calibri" w:hAnsi="Times New Roman" w:cs="Times New Roman"/>
          <w:sz w:val="24"/>
          <w:szCs w:val="24"/>
        </w:rPr>
        <w:t>1st</w:t>
      </w:r>
      <w:r w:rsidR="000475D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Options beginning</w:t>
      </w:r>
      <w:r w:rsidRPr="00352533">
        <w:rPr>
          <w:rFonts w:ascii="Times New Roman" w:eastAsia="Calibri" w:hAnsi="Times New Roman" w:cs="Times New Roman"/>
          <w:sz w:val="24"/>
          <w:szCs w:val="24"/>
        </w:rPr>
        <w:t xml:space="preserve"> </w:t>
      </w:r>
      <w:r w:rsidR="003207C9">
        <w:rPr>
          <w:rFonts w:ascii="Times New Roman" w:eastAsia="Calibri" w:hAnsi="Times New Roman" w:cs="Times New Roman"/>
          <w:sz w:val="24"/>
          <w:szCs w:val="24"/>
        </w:rPr>
        <w:t>October 25</w:t>
      </w:r>
      <w:r>
        <w:rPr>
          <w:rFonts w:ascii="Times New Roman" w:eastAsia="Calibri" w:hAnsi="Times New Roman" w:cs="Times New Roman"/>
          <w:sz w:val="24"/>
          <w:szCs w:val="24"/>
        </w:rPr>
        <w:t xml:space="preserve">, 2016, for trade date </w:t>
      </w:r>
      <w:r w:rsidR="003207C9">
        <w:rPr>
          <w:rFonts w:ascii="Times New Roman" w:eastAsia="Calibri" w:hAnsi="Times New Roman" w:cs="Times New Roman"/>
          <w:sz w:val="24"/>
          <w:szCs w:val="24"/>
        </w:rPr>
        <w:t>October 26</w:t>
      </w:r>
      <w:r>
        <w:rPr>
          <w:rFonts w:ascii="Times New Roman" w:eastAsia="Calibri" w:hAnsi="Times New Roman" w:cs="Times New Roman"/>
          <w:sz w:val="24"/>
          <w:szCs w:val="24"/>
        </w:rPr>
        <w:t>, 2016.</w:t>
      </w:r>
      <w:r w:rsidRPr="003525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F1A38">
        <w:rPr>
          <w:rFonts w:ascii="Times New Roman" w:eastAsia="Calibri" w:hAnsi="Times New Roman" w:cs="Times New Roman"/>
          <w:sz w:val="24"/>
          <w:szCs w:val="24"/>
        </w:rPr>
        <w:t xml:space="preserve">amendments </w:t>
      </w:r>
      <w:r w:rsidRPr="001B6ADA">
        <w:rPr>
          <w:rFonts w:ascii="Times New Roman" w:eastAsia="Calibri" w:hAnsi="Times New Roman" w:cs="Times New Roman"/>
          <w:sz w:val="24"/>
          <w:szCs w:val="24"/>
        </w:rPr>
        <w:t>proposed in this submission shall be effective on the listing date.</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 xml:space="preserve">Concise Description of the </w:t>
      </w:r>
      <w:r w:rsidR="008E185B">
        <w:rPr>
          <w:rFonts w:ascii="Times New Roman" w:hAnsi="Times New Roman" w:cs="Times New Roman"/>
          <w:b/>
          <w:sz w:val="24"/>
          <w:szCs w:val="24"/>
          <w:u w:val="single"/>
        </w:rPr>
        <w:t xml:space="preserve">new </w:t>
      </w:r>
      <w:r w:rsidR="00711AE9">
        <w:rPr>
          <w:rFonts w:ascii="Times New Roman" w:hAnsi="Times New Roman" w:cs="Times New Roman"/>
          <w:b/>
          <w:sz w:val="24"/>
          <w:szCs w:val="24"/>
          <w:u w:val="single"/>
        </w:rPr>
        <w:t>Options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9B56C3" w:rsidRPr="00551FAB" w:rsidRDefault="003207C9" w:rsidP="009B56C3">
      <w:pPr>
        <w:spacing w:before="15" w:after="100" w:afterAutospacing="1" w:line="240" w:lineRule="atLeast"/>
        <w:ind w:firstLine="1310"/>
        <w:rPr>
          <w:rFonts w:ascii="Times New Roman" w:eastAsia="Times New Roman" w:hAnsi="Times New Roman" w:cs="Times New Roman"/>
          <w:color w:val="000000"/>
          <w:sz w:val="24"/>
          <w:szCs w:val="24"/>
        </w:rPr>
      </w:pPr>
      <w:bookmarkStart w:id="1" w:name="chp_1_1_1_9_5_2"/>
      <w:bookmarkStart w:id="2" w:name="sx-policymanual-phlx-philabot_102.02"/>
      <w:bookmarkEnd w:id="1"/>
      <w:bookmarkEnd w:id="2"/>
      <w:r>
        <w:rPr>
          <w:rFonts w:ascii="Times New Roman" w:eastAsia="Times New Roman" w:hAnsi="Times New Roman" w:cs="Times New Roman"/>
          <w:color w:val="000000"/>
          <w:sz w:val="24"/>
          <w:szCs w:val="24"/>
        </w:rPr>
        <w:t>A p</w:t>
      </w:r>
      <w:r w:rsidR="00711AE9"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traded on the Exchange </w:t>
      </w:r>
      <w:r w:rsidR="009B56C3">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 xml:space="preserve">a </w:t>
      </w:r>
      <w:r w:rsidR="007245AD">
        <w:rPr>
          <w:rFonts w:ascii="Times New Roman" w:eastAsia="Times New Roman" w:hAnsi="Times New Roman" w:cs="Times New Roman"/>
          <w:color w:val="000000"/>
          <w:sz w:val="24"/>
          <w:szCs w:val="24"/>
        </w:rPr>
        <w:t>European</w:t>
      </w:r>
      <w:r w:rsidR="009B56C3">
        <w:rPr>
          <w:rFonts w:ascii="Times New Roman" w:eastAsia="Times New Roman" w:hAnsi="Times New Roman" w:cs="Times New Roman"/>
          <w:color w:val="000000"/>
          <w:sz w:val="24"/>
          <w:szCs w:val="24"/>
        </w:rPr>
        <w:t>-style</w:t>
      </w:r>
      <w:r w:rsidR="00711AE9"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Brent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00711AE9" w:rsidRPr="00551FAB">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symbol “</w:t>
      </w:r>
      <w:r w:rsidR="008E185B">
        <w:rPr>
          <w:rFonts w:ascii="Times New Roman" w:eastAsia="Times New Roman" w:hAnsi="Times New Roman" w:cs="Times New Roman"/>
          <w:color w:val="000000"/>
          <w:sz w:val="24"/>
          <w:szCs w:val="24"/>
          <w:u w:val="single"/>
        </w:rPr>
        <w:t>IB</w:t>
      </w:r>
      <w:r w:rsidRPr="003207C9">
        <w:rPr>
          <w:rFonts w:ascii="Times New Roman" w:eastAsia="Times New Roman" w:hAnsi="Times New Roman" w:cs="Times New Roman"/>
          <w:color w:val="000000"/>
          <w:sz w:val="24"/>
          <w:szCs w:val="24"/>
          <w:u w:val="single"/>
        </w:rPr>
        <w:t>Q</w:t>
      </w:r>
      <w:r w:rsidR="00CF5D12">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contract</w:t>
      </w:r>
      <w:r w:rsidR="00471CB4">
        <w:rPr>
          <w:rFonts w:ascii="Times New Roman" w:eastAsia="Times New Roman" w:hAnsi="Times New Roman" w:cs="Times New Roman"/>
          <w:color w:val="000000"/>
          <w:sz w:val="24"/>
          <w:szCs w:val="24"/>
        </w:rPr>
        <w:t>, currently listed on the Exchange,</w:t>
      </w:r>
      <w:r w:rsidR="00711AE9" w:rsidRPr="00551FAB">
        <w:rPr>
          <w:rFonts w:ascii="Times New Roman" w:eastAsia="Times New Roman" w:hAnsi="Times New Roman" w:cs="Times New Roman"/>
          <w:color w:val="000000"/>
          <w:sz w:val="24"/>
          <w:szCs w:val="24"/>
        </w:rPr>
        <w:t xml:space="preserve"> of a specified contract month.</w:t>
      </w:r>
      <w:r w:rsidR="00471CB4">
        <w:rPr>
          <w:rStyle w:val="FootnoteReference"/>
          <w:rFonts w:ascii="Times New Roman" w:eastAsia="Times New Roman" w:hAnsi="Times New Roman" w:cs="Times New Roman"/>
          <w:color w:val="000000"/>
          <w:sz w:val="24"/>
          <w:szCs w:val="24"/>
        </w:rPr>
        <w:footnoteReference w:id="3"/>
      </w:r>
      <w:r w:rsidR="00711AE9">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Line </w:t>
      </w:r>
      <w:r w:rsidR="009B56C3">
        <w:rPr>
          <w:rFonts w:ascii="Times New Roman" w:eastAsia="Times New Roman" w:hAnsi="Times New Roman" w:cs="Times New Roman"/>
          <w:color w:val="000000"/>
          <w:sz w:val="24"/>
          <w:szCs w:val="24"/>
        </w:rPr>
        <w:t xml:space="preserve">Option </w:t>
      </w:r>
      <w:r w:rsidR="00711AE9" w:rsidRPr="00551FAB">
        <w:rPr>
          <w:rFonts w:ascii="Times New Roman" w:eastAsia="Times New Roman" w:hAnsi="Times New Roman" w:cs="Times New Roman"/>
          <w:color w:val="000000"/>
          <w:sz w:val="24"/>
          <w:szCs w:val="24"/>
        </w:rPr>
        <w:t xml:space="preserve">is one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futures contract</w:t>
      </w:r>
      <w:r w:rsidR="009B56C3">
        <w:rPr>
          <w:rFonts w:ascii="Times New Roman" w:eastAsia="Times New Roman" w:hAnsi="Times New Roman" w:cs="Times New Roman"/>
          <w:color w:val="000000"/>
          <w:sz w:val="24"/>
          <w:szCs w:val="24"/>
        </w:rPr>
        <w:t>,</w:t>
      </w:r>
      <w:r w:rsidR="00711AE9"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00711AE9" w:rsidRPr="00551FAB">
        <w:rPr>
          <w:rFonts w:ascii="Times New Roman" w:eastAsia="Times New Roman" w:hAnsi="Times New Roman" w:cs="Times New Roman"/>
          <w:color w:val="000000"/>
          <w:sz w:val="24"/>
          <w:szCs w:val="24"/>
        </w:rPr>
        <w:t>.</w:t>
      </w:r>
      <w:r w:rsidR="009B56C3">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Prices </w:t>
      </w:r>
      <w:r w:rsidR="00471CB4">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009B56C3" w:rsidRPr="00551FAB">
        <w:rPr>
          <w:rFonts w:ascii="Times New Roman" w:eastAsia="Times New Roman" w:hAnsi="Times New Roman" w:cs="Times New Roman"/>
          <w:color w:val="000000"/>
          <w:sz w:val="24"/>
          <w:szCs w:val="24"/>
        </w:rPr>
        <w:t xml:space="preserve">. </w:t>
      </w:r>
      <w:r w:rsidR="00304BBA">
        <w:rPr>
          <w:rFonts w:ascii="Times New Roman" w:eastAsia="Times New Roman" w:hAnsi="Times New Roman" w:cs="Times New Roman"/>
          <w:color w:val="000000"/>
          <w:sz w:val="24"/>
          <w:szCs w:val="24"/>
        </w:rPr>
        <w:t xml:space="preserve"> </w:t>
      </w:r>
      <w:r w:rsidR="009B56C3" w:rsidRPr="00551FAB">
        <w:rPr>
          <w:rFonts w:ascii="Times New Roman" w:eastAsia="Times New Roman" w:hAnsi="Times New Roman" w:cs="Times New Roman"/>
          <w:color w:val="000000"/>
          <w:sz w:val="24"/>
          <w:szCs w:val="24"/>
        </w:rPr>
        <w:t xml:space="preserve">The minimum trading increment </w:t>
      </w:r>
      <w:r w:rsidR="009B56C3">
        <w:rPr>
          <w:rFonts w:ascii="Times New Roman" w:eastAsia="Times New Roman" w:hAnsi="Times New Roman" w:cs="Times New Roman"/>
          <w:color w:val="000000"/>
          <w:sz w:val="24"/>
          <w:szCs w:val="24"/>
        </w:rPr>
        <w:t>will be</w:t>
      </w:r>
      <w:r w:rsidR="009B56C3"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009B56C3">
        <w:rPr>
          <w:rFonts w:ascii="Times New Roman" w:eastAsia="Times New Roman" w:hAnsi="Times New Roman" w:cs="Times New Roman"/>
          <w:color w:val="000000"/>
          <w:sz w:val="24"/>
          <w:szCs w:val="24"/>
        </w:rPr>
        <w:t>,</w:t>
      </w:r>
      <w:r w:rsidR="009B56C3"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009B56C3"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w:t>
      </w:r>
    </w:p>
    <w:p w:rsidR="00317F77" w:rsidRDefault="003207C9" w:rsidP="00CF5D12">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Options, like other Exchange</w:t>
      </w:r>
      <w:r w:rsidR="003E3285">
        <w:rPr>
          <w:rFonts w:ascii="Times New Roman" w:eastAsia="Times New Roman" w:hAnsi="Times New Roman" w:cs="Times New Roman"/>
          <w:color w:val="000000"/>
          <w:sz w:val="24"/>
          <w:szCs w:val="24"/>
        </w:rPr>
        <w:t>-</w:t>
      </w:r>
      <w:r w:rsidR="00CF5D12">
        <w:rPr>
          <w:rFonts w:ascii="Times New Roman" w:eastAsia="Times New Roman" w:hAnsi="Times New Roman" w:cs="Times New Roman"/>
          <w:color w:val="000000"/>
          <w:sz w:val="24"/>
          <w:szCs w:val="24"/>
        </w:rPr>
        <w:t xml:space="preserve">listed contracts, will be cleared by The Options </w:t>
      </w:r>
      <w:r w:rsidR="00711AE9" w:rsidRPr="00551FAB">
        <w:rPr>
          <w:rFonts w:ascii="Times New Roman" w:eastAsia="Times New Roman" w:hAnsi="Times New Roman" w:cs="Times New Roman"/>
          <w:color w:val="000000"/>
          <w:sz w:val="24"/>
          <w:szCs w:val="24"/>
        </w:rPr>
        <w:t xml:space="preserve">Clearing Corporation </w:t>
      </w:r>
      <w:r w:rsidR="00CF5D12">
        <w:rPr>
          <w:rFonts w:ascii="Times New Roman" w:eastAsia="Times New Roman" w:hAnsi="Times New Roman" w:cs="Times New Roman"/>
          <w:color w:val="000000"/>
          <w:sz w:val="24"/>
          <w:szCs w:val="24"/>
        </w:rPr>
        <w:t>(“</w:t>
      </w:r>
      <w:r w:rsidR="00CF5D12" w:rsidRPr="00CF5D12">
        <w:rPr>
          <w:rFonts w:ascii="Times New Roman" w:eastAsia="Times New Roman" w:hAnsi="Times New Roman" w:cs="Times New Roman"/>
          <w:color w:val="000000"/>
          <w:sz w:val="24"/>
          <w:szCs w:val="24"/>
          <w:u w:val="single"/>
        </w:rPr>
        <w:t>OCC</w:t>
      </w:r>
      <w:r w:rsidR="00CF5D12">
        <w:rPr>
          <w:rFonts w:ascii="Times New Roman" w:eastAsia="Times New Roman" w:hAnsi="Times New Roman" w:cs="Times New Roman"/>
          <w:color w:val="000000"/>
          <w:sz w:val="24"/>
          <w:szCs w:val="24"/>
        </w:rPr>
        <w:t xml:space="preserve">”).  Subject to OCC </w:t>
      </w:r>
      <w:r w:rsidR="00711AE9" w:rsidRPr="00551FAB">
        <w:rPr>
          <w:rFonts w:ascii="Times New Roman" w:eastAsia="Times New Roman" w:hAnsi="Times New Roman" w:cs="Times New Roman"/>
          <w:color w:val="000000"/>
          <w:sz w:val="24"/>
          <w:szCs w:val="24"/>
        </w:rPr>
        <w:t xml:space="preserve">rules, upon exercise the holder </w:t>
      </w:r>
      <w:r w:rsidR="00CF5D12">
        <w:rPr>
          <w:rFonts w:ascii="Times New Roman" w:eastAsia="Times New Roman" w:hAnsi="Times New Roman" w:cs="Times New Roman"/>
          <w:color w:val="000000"/>
          <w:sz w:val="24"/>
          <w:szCs w:val="24"/>
        </w:rPr>
        <w:t xml:space="preserve">of a </w:t>
      </w:r>
      <w:r>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 xml:space="preserve">Option will </w:t>
      </w:r>
      <w:r w:rsidR="00711AE9" w:rsidRPr="00551FAB">
        <w:rPr>
          <w:rFonts w:ascii="Times New Roman" w:eastAsia="Times New Roman" w:hAnsi="Times New Roman" w:cs="Times New Roman"/>
          <w:color w:val="000000"/>
          <w:sz w:val="24"/>
          <w:szCs w:val="24"/>
        </w:rPr>
        <w:t>ha</w:t>
      </w:r>
      <w:r w:rsidR="00CF5D12">
        <w:rPr>
          <w:rFonts w:ascii="Times New Roman" w:eastAsia="Times New Roman" w:hAnsi="Times New Roman" w:cs="Times New Roman"/>
          <w:color w:val="000000"/>
          <w:sz w:val="24"/>
          <w:szCs w:val="24"/>
        </w:rPr>
        <w:t>ve</w:t>
      </w:r>
      <w:r w:rsidR="00711AE9" w:rsidRPr="00551FAB">
        <w:rPr>
          <w:rFonts w:ascii="Times New Roman" w:eastAsia="Times New Roman" w:hAnsi="Times New Roman" w:cs="Times New Roman"/>
          <w:color w:val="000000"/>
          <w:sz w:val="24"/>
          <w:szCs w:val="24"/>
        </w:rPr>
        <w:t xml:space="preserve"> the right,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long position in the underlying </w:t>
      </w:r>
      <w:r w:rsidR="00C3401E">
        <w:rPr>
          <w:rFonts w:ascii="Times New Roman" w:eastAsia="Times New Roman" w:hAnsi="Times New Roman" w:cs="Times New Roman"/>
          <w:color w:val="000000"/>
          <w:sz w:val="24"/>
          <w:szCs w:val="24"/>
        </w:rPr>
        <w:t>IB</w:t>
      </w:r>
      <w:r w:rsidR="00F84782">
        <w:rPr>
          <w:rFonts w:ascii="Times New Roman" w:eastAsia="Times New Roman" w:hAnsi="Times New Roman" w:cs="Times New Roman"/>
          <w:color w:val="000000"/>
          <w:sz w:val="24"/>
          <w:szCs w:val="24"/>
        </w:rPr>
        <w:t>Q</w:t>
      </w:r>
      <w:r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Q</w:t>
      </w:r>
      <w:r w:rsidR="00F84782" w:rsidRPr="00551FAB">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futures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CF5D12">
        <w:rPr>
          <w:rFonts w:ascii="Times New Roman" w:eastAsia="Times New Roman" w:hAnsi="Times New Roman" w:cs="Times New Roman"/>
          <w:color w:val="000000"/>
          <w:sz w:val="24"/>
          <w:szCs w:val="24"/>
        </w:rPr>
        <w:t xml:space="preserve">  Likewise, s</w:t>
      </w:r>
      <w:r w:rsidR="00711AE9" w:rsidRPr="00551FAB">
        <w:rPr>
          <w:rFonts w:ascii="Times New Roman" w:eastAsia="Times New Roman" w:hAnsi="Times New Roman" w:cs="Times New Roman"/>
          <w:color w:val="000000"/>
          <w:sz w:val="24"/>
          <w:szCs w:val="24"/>
        </w:rPr>
        <w:t xml:space="preserve">ubject to </w:t>
      </w:r>
      <w:r w:rsidR="00CF5D12">
        <w:rPr>
          <w:rFonts w:ascii="Times New Roman" w:eastAsia="Times New Roman" w:hAnsi="Times New Roman" w:cs="Times New Roman"/>
          <w:color w:val="000000"/>
          <w:sz w:val="24"/>
          <w:szCs w:val="24"/>
        </w:rPr>
        <w:t xml:space="preserve">OCC </w:t>
      </w:r>
      <w:r w:rsidR="00711AE9" w:rsidRPr="00551FAB">
        <w:rPr>
          <w:rFonts w:ascii="Times New Roman" w:eastAsia="Times New Roman" w:hAnsi="Times New Roman" w:cs="Times New Roman"/>
          <w:color w:val="000000"/>
          <w:sz w:val="24"/>
          <w:szCs w:val="24"/>
        </w:rPr>
        <w:t xml:space="preserve">rules, a writer </w:t>
      </w:r>
      <w:r w:rsidR="00CF5D12">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 will have</w:t>
      </w:r>
      <w:r w:rsidR="00711AE9" w:rsidRPr="00551FAB">
        <w:rPr>
          <w:rFonts w:ascii="Times New Roman" w:eastAsia="Times New Roman" w:hAnsi="Times New Roman" w:cs="Times New Roman"/>
          <w:color w:val="000000"/>
          <w:sz w:val="24"/>
          <w:szCs w:val="24"/>
        </w:rPr>
        <w:t xml:space="preserve"> the obligation, upon assignment by </w:t>
      </w:r>
      <w:r w:rsidR="00CF5D12">
        <w:rPr>
          <w:rFonts w:ascii="Times New Roman" w:eastAsia="Times New Roman" w:hAnsi="Times New Roman" w:cs="Times New Roman"/>
          <w:color w:val="000000"/>
          <w:sz w:val="24"/>
          <w:szCs w:val="24"/>
        </w:rPr>
        <w:t>OCC</w:t>
      </w:r>
      <w:r w:rsidR="00711AE9" w:rsidRPr="00551FAB">
        <w:rPr>
          <w:rFonts w:ascii="Times New Roman" w:eastAsia="Times New Roman" w:hAnsi="Times New Roman" w:cs="Times New Roman"/>
          <w:color w:val="000000"/>
          <w:sz w:val="24"/>
          <w:szCs w:val="24"/>
        </w:rPr>
        <w:t xml:space="preserve"> of an exercise in respect of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in the case of a call,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call replaced by a short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711AE9" w:rsidRPr="00551FAB">
        <w:rPr>
          <w:rFonts w:ascii="Times New Roman" w:eastAsia="Times New Roman" w:hAnsi="Times New Roman" w:cs="Times New Roman"/>
          <w:color w:val="000000"/>
          <w:sz w:val="24"/>
          <w:szCs w:val="24"/>
        </w:rPr>
        <w:t xml:space="preserve">futures </w:t>
      </w:r>
      <w:r w:rsidR="004D4A93">
        <w:rPr>
          <w:rFonts w:ascii="Times New Roman" w:eastAsia="Times New Roman" w:hAnsi="Times New Roman" w:cs="Times New Roman"/>
          <w:color w:val="000000"/>
          <w:sz w:val="24"/>
          <w:szCs w:val="24"/>
        </w:rPr>
        <w:t xml:space="preserve">contract </w:t>
      </w:r>
      <w:r w:rsidR="00711AE9" w:rsidRPr="00551FAB">
        <w:rPr>
          <w:rFonts w:ascii="Times New Roman" w:eastAsia="Times New Roman" w:hAnsi="Times New Roman" w:cs="Times New Roman"/>
          <w:color w:val="000000"/>
          <w:sz w:val="24"/>
          <w:szCs w:val="24"/>
        </w:rPr>
        <w:t xml:space="preserve">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and in the case of a put, to have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put replaced by a l</w:t>
      </w:r>
      <w:r w:rsidR="00CF5D12">
        <w:rPr>
          <w:rFonts w:ascii="Times New Roman" w:eastAsia="Times New Roman" w:hAnsi="Times New Roman" w:cs="Times New Roman"/>
          <w:color w:val="000000"/>
          <w:sz w:val="24"/>
          <w:szCs w:val="24"/>
        </w:rPr>
        <w:t xml:space="preserve">ong position in the underlying </w:t>
      </w:r>
      <w:r w:rsidR="00F84782">
        <w:rPr>
          <w:rFonts w:ascii="Times New Roman" w:eastAsia="Times New Roman" w:hAnsi="Times New Roman" w:cs="Times New Roman"/>
          <w:color w:val="000000"/>
          <w:sz w:val="24"/>
          <w:szCs w:val="24"/>
        </w:rPr>
        <w:t>I</w:t>
      </w:r>
      <w:r w:rsidR="00C3401E">
        <w:rPr>
          <w:rFonts w:ascii="Times New Roman" w:eastAsia="Times New Roman" w:hAnsi="Times New Roman" w:cs="Times New Roman"/>
          <w:color w:val="000000"/>
          <w:sz w:val="24"/>
          <w:szCs w:val="24"/>
        </w:rPr>
        <w:t>B</w:t>
      </w:r>
      <w:r w:rsidR="00F84782">
        <w:rPr>
          <w:rFonts w:ascii="Times New Roman" w:eastAsia="Times New Roman" w:hAnsi="Times New Roman" w:cs="Times New Roman"/>
          <w:color w:val="000000"/>
          <w:sz w:val="24"/>
          <w:szCs w:val="24"/>
        </w:rPr>
        <w:t xml:space="preserve">Q </w:t>
      </w:r>
      <w:r w:rsidR="00CF5D12">
        <w:rPr>
          <w:rFonts w:ascii="Times New Roman" w:eastAsia="Times New Roman" w:hAnsi="Times New Roman" w:cs="Times New Roman"/>
          <w:color w:val="000000"/>
          <w:sz w:val="24"/>
          <w:szCs w:val="24"/>
        </w:rPr>
        <w:t>f</w:t>
      </w:r>
      <w:r w:rsidR="00711AE9" w:rsidRPr="00551FAB">
        <w:rPr>
          <w:rFonts w:ascii="Times New Roman" w:eastAsia="Times New Roman" w:hAnsi="Times New Roman" w:cs="Times New Roman"/>
          <w:color w:val="000000"/>
          <w:sz w:val="24"/>
          <w:szCs w:val="24"/>
        </w:rPr>
        <w:t xml:space="preserve">utures contract equal to the unit of trading for </w:t>
      </w:r>
      <w:r w:rsidR="00CF5D12">
        <w:rPr>
          <w:rFonts w:ascii="Times New Roman" w:eastAsia="Times New Roman" w:hAnsi="Times New Roman" w:cs="Times New Roman"/>
          <w:color w:val="000000"/>
          <w:sz w:val="24"/>
          <w:szCs w:val="24"/>
        </w:rPr>
        <w:t>the</w:t>
      </w:r>
      <w:r w:rsidR="00711AE9" w:rsidRPr="00551FAB">
        <w:rPr>
          <w:rFonts w:ascii="Times New Roman" w:eastAsia="Times New Roman" w:hAnsi="Times New Roman" w:cs="Times New Roman"/>
          <w:color w:val="000000"/>
          <w:sz w:val="24"/>
          <w:szCs w:val="24"/>
        </w:rPr>
        <w:t xml:space="preserve"> </w:t>
      </w:r>
      <w:r w:rsidR="00F84782">
        <w:rPr>
          <w:rFonts w:ascii="Times New Roman" w:eastAsia="Times New Roman" w:hAnsi="Times New Roman" w:cs="Times New Roman"/>
          <w:color w:val="000000"/>
          <w:sz w:val="24"/>
          <w:szCs w:val="24"/>
        </w:rPr>
        <w:t>Brent</w:t>
      </w:r>
      <w:r w:rsidR="00CF5D12">
        <w:rPr>
          <w:rFonts w:ascii="Times New Roman" w:eastAsia="Times New Roman" w:hAnsi="Times New Roman" w:cs="Times New Roman"/>
          <w:color w:val="000000"/>
          <w:sz w:val="24"/>
          <w:szCs w:val="24"/>
        </w:rPr>
        <w:t xml:space="preserve">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ption.</w:t>
      </w:r>
      <w:r w:rsidR="009B56C3">
        <w:rPr>
          <w:rFonts w:ascii="Times New Roman" w:eastAsia="Times New Roman" w:hAnsi="Times New Roman" w:cs="Times New Roman"/>
          <w:color w:val="000000"/>
          <w:sz w:val="24"/>
          <w:szCs w:val="24"/>
        </w:rPr>
        <w:t xml:space="preserve">  </w:t>
      </w:r>
      <w:r w:rsidR="00711AE9" w:rsidRPr="00551FAB">
        <w:rPr>
          <w:rFonts w:ascii="Times New Roman" w:eastAsia="Times New Roman" w:hAnsi="Times New Roman" w:cs="Times New Roman"/>
          <w:color w:val="000000"/>
          <w:sz w:val="24"/>
          <w:szCs w:val="24"/>
        </w:rPr>
        <w:t xml:space="preserve">Underlying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 xml:space="preserve">futures contracts that are opened in settlement of exercises and assignments of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sidR="00CF5D12">
        <w:rPr>
          <w:rFonts w:ascii="Times New Roman" w:eastAsia="Times New Roman" w:hAnsi="Times New Roman" w:cs="Times New Roman"/>
          <w:color w:val="000000"/>
          <w:sz w:val="24"/>
          <w:szCs w:val="24"/>
        </w:rPr>
        <w:t>Option</w:t>
      </w:r>
      <w:r w:rsidR="00711AE9"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sidR="00CF5D12">
        <w:rPr>
          <w:rFonts w:ascii="Times New Roman" w:eastAsia="Times New Roman" w:hAnsi="Times New Roman" w:cs="Times New Roman"/>
          <w:color w:val="000000"/>
          <w:sz w:val="24"/>
          <w:szCs w:val="24"/>
        </w:rPr>
        <w:t xml:space="preserve">the </w:t>
      </w:r>
      <w:r w:rsidR="00F84782">
        <w:rPr>
          <w:rFonts w:ascii="Times New Roman" w:eastAsia="Times New Roman" w:hAnsi="Times New Roman" w:cs="Times New Roman"/>
          <w:color w:val="000000"/>
          <w:sz w:val="24"/>
          <w:szCs w:val="24"/>
        </w:rPr>
        <w:t xml:space="preserve">Brent </w:t>
      </w:r>
      <w:r w:rsidR="007739C3">
        <w:rPr>
          <w:rFonts w:ascii="Times New Roman" w:eastAsia="Times New Roman" w:hAnsi="Times New Roman" w:cs="Times New Roman"/>
          <w:color w:val="000000"/>
          <w:sz w:val="24"/>
          <w:szCs w:val="24"/>
        </w:rPr>
        <w:t>1st</w:t>
      </w:r>
      <w:r w:rsidR="004D4A93">
        <w:rPr>
          <w:rFonts w:ascii="Times New Roman" w:eastAsia="Times New Roman" w:hAnsi="Times New Roman" w:cs="Times New Roman"/>
          <w:color w:val="000000"/>
          <w:sz w:val="24"/>
          <w:szCs w:val="24"/>
        </w:rPr>
        <w:t xml:space="preserve"> Li</w:t>
      </w:r>
      <w:r w:rsidR="000475DC">
        <w:rPr>
          <w:rFonts w:ascii="Times New Roman" w:eastAsia="Times New Roman" w:hAnsi="Times New Roman" w:cs="Times New Roman"/>
          <w:color w:val="000000"/>
          <w:sz w:val="24"/>
          <w:szCs w:val="24"/>
        </w:rPr>
        <w:t>n</w:t>
      </w:r>
      <w:r w:rsidR="004D4A93">
        <w:rPr>
          <w:rFonts w:ascii="Times New Roman" w:eastAsia="Times New Roman" w:hAnsi="Times New Roman" w:cs="Times New Roman"/>
          <w:color w:val="000000"/>
          <w:sz w:val="24"/>
          <w:szCs w:val="24"/>
        </w:rPr>
        <w:t>e</w:t>
      </w:r>
      <w:r w:rsidR="000475DC">
        <w:rPr>
          <w:rFonts w:ascii="Times New Roman" w:eastAsia="Times New Roman" w:hAnsi="Times New Roman" w:cs="Times New Roman"/>
          <w:color w:val="000000"/>
          <w:sz w:val="24"/>
          <w:szCs w:val="24"/>
        </w:rPr>
        <w:t xml:space="preserve"> </w:t>
      </w:r>
      <w:r w:rsidR="00CF5D12">
        <w:rPr>
          <w:rFonts w:ascii="Times New Roman" w:eastAsia="Times New Roman" w:hAnsi="Times New Roman" w:cs="Times New Roman"/>
          <w:color w:val="000000"/>
          <w:sz w:val="24"/>
          <w:szCs w:val="24"/>
        </w:rPr>
        <w:t>O</w:t>
      </w:r>
      <w:r w:rsidR="00711AE9" w:rsidRPr="00551FAB">
        <w:rPr>
          <w:rFonts w:ascii="Times New Roman" w:eastAsia="Times New Roman" w:hAnsi="Times New Roman" w:cs="Times New Roman"/>
          <w:color w:val="000000"/>
          <w:sz w:val="24"/>
          <w:szCs w:val="24"/>
        </w:rPr>
        <w:t xml:space="preserve">ption, which shall be deemed the contract price for </w:t>
      </w:r>
      <w:r w:rsidR="00CF5D12">
        <w:rPr>
          <w:rFonts w:ascii="Times New Roman" w:eastAsia="Times New Roman" w:hAnsi="Times New Roman" w:cs="Times New Roman"/>
          <w:color w:val="000000"/>
          <w:sz w:val="24"/>
          <w:szCs w:val="24"/>
        </w:rPr>
        <w:t xml:space="preserve">the </w:t>
      </w:r>
      <w:r w:rsidR="00C3401E">
        <w:rPr>
          <w:rFonts w:ascii="Times New Roman" w:eastAsia="Times New Roman" w:hAnsi="Times New Roman" w:cs="Times New Roman"/>
          <w:color w:val="000000"/>
          <w:sz w:val="24"/>
          <w:szCs w:val="24"/>
        </w:rPr>
        <w:t xml:space="preserve">IBQ </w:t>
      </w:r>
      <w:r w:rsidR="00711AE9" w:rsidRPr="00551FAB">
        <w:rPr>
          <w:rFonts w:ascii="Times New Roman" w:eastAsia="Times New Roman" w:hAnsi="Times New Roman" w:cs="Times New Roman"/>
          <w:color w:val="000000"/>
          <w:sz w:val="24"/>
          <w:szCs w:val="24"/>
        </w:rPr>
        <w:t>contract.</w:t>
      </w:r>
    </w:p>
    <w:p w:rsidR="00317F77" w:rsidRPr="00551FAB"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w:t>
      </w:r>
      <w:r w:rsidRPr="00551FAB">
        <w:rPr>
          <w:rFonts w:ascii="Times New Roman" w:eastAsia="Times New Roman" w:hAnsi="Times New Roman" w:cs="Times New Roman"/>
          <w:color w:val="000000"/>
          <w:sz w:val="24"/>
          <w:szCs w:val="24"/>
        </w:rPr>
        <w:t xml:space="preserve">ut or call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traded on the Exchange </w:t>
      </w:r>
      <w:r>
        <w:rPr>
          <w:rFonts w:ascii="Times New Roman" w:eastAsia="Times New Roman" w:hAnsi="Times New Roman" w:cs="Times New Roman"/>
          <w:color w:val="000000"/>
          <w:sz w:val="24"/>
          <w:szCs w:val="24"/>
        </w:rPr>
        <w:t xml:space="preserve">will be a </w:t>
      </w:r>
      <w:r w:rsidR="00AE0F07">
        <w:rPr>
          <w:rFonts w:ascii="Times New Roman" w:eastAsia="Times New Roman" w:hAnsi="Times New Roman" w:cs="Times New Roman"/>
          <w:color w:val="000000"/>
          <w:sz w:val="24"/>
          <w:szCs w:val="24"/>
        </w:rPr>
        <w:t>European</w:t>
      </w:r>
      <w:r>
        <w:rPr>
          <w:rFonts w:ascii="Times New Roman" w:eastAsia="Times New Roman" w:hAnsi="Times New Roman" w:cs="Times New Roman"/>
          <w:color w:val="000000"/>
          <w:sz w:val="24"/>
          <w:szCs w:val="24"/>
        </w:rPr>
        <w:t>-style</w:t>
      </w:r>
      <w:r w:rsidRPr="00551FAB">
        <w:rPr>
          <w:rFonts w:ascii="Times New Roman" w:eastAsia="Times New Roman" w:hAnsi="Times New Roman" w:cs="Times New Roman"/>
          <w:color w:val="000000"/>
          <w:sz w:val="24"/>
          <w:szCs w:val="24"/>
        </w:rPr>
        <w:t xml:space="preserve"> option to assume a short or long position in one NFX </w:t>
      </w:r>
      <w:r>
        <w:rPr>
          <w:rFonts w:ascii="Times New Roman" w:eastAsia="Times New Roman" w:hAnsi="Times New Roman" w:cs="Times New Roman"/>
          <w:color w:val="000000"/>
          <w:sz w:val="24"/>
          <w:szCs w:val="24"/>
        </w:rPr>
        <w:t>WTI 1</w:t>
      </w:r>
      <w:r w:rsidR="00DD6CFD">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Line Financial Futures </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symbol </w:t>
      </w:r>
      <w:r>
        <w:rPr>
          <w:rFonts w:ascii="Times New Roman" w:eastAsia="Times New Roman" w:hAnsi="Times New Roman" w:cs="Times New Roman"/>
          <w:color w:val="000000"/>
          <w:sz w:val="24"/>
          <w:szCs w:val="24"/>
        </w:rPr>
        <w:lastRenderedPageBreak/>
        <w:t>“</w:t>
      </w:r>
      <w:r w:rsidRPr="00317F77">
        <w:rPr>
          <w:rFonts w:ascii="Times New Roman" w:eastAsia="Times New Roman" w:hAnsi="Times New Roman" w:cs="Times New Roman"/>
          <w:color w:val="000000"/>
          <w:sz w:val="24"/>
          <w:szCs w:val="24"/>
          <w:u w:val="single"/>
        </w:rPr>
        <w:t>RTI</w:t>
      </w:r>
      <w:r w:rsidRPr="003207C9">
        <w:rPr>
          <w:rFonts w:ascii="Times New Roman" w:eastAsia="Times New Roman" w:hAnsi="Times New Roman" w:cs="Times New Roman"/>
          <w:color w:val="000000"/>
          <w:sz w:val="24"/>
          <w:szCs w:val="24"/>
          <w:u w:val="single"/>
        </w:rPr>
        <w:t>Q</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contract</w:t>
      </w:r>
      <w:r>
        <w:rPr>
          <w:rFonts w:ascii="Times New Roman" w:eastAsia="Times New Roman" w:hAnsi="Times New Roman" w:cs="Times New Roman"/>
          <w:color w:val="000000"/>
          <w:sz w:val="24"/>
          <w:szCs w:val="24"/>
        </w:rPr>
        <w:t>, currently listed on the Exchange,</w:t>
      </w:r>
      <w:r w:rsidRPr="00551FAB">
        <w:rPr>
          <w:rFonts w:ascii="Times New Roman" w:eastAsia="Times New Roman" w:hAnsi="Times New Roman" w:cs="Times New Roman"/>
          <w:color w:val="000000"/>
          <w:sz w:val="24"/>
          <w:szCs w:val="24"/>
        </w:rPr>
        <w:t xml:space="preserve"> of a specified contract month.</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unit of trading for one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t>
      </w:r>
      <w:r w:rsidRPr="00551FAB">
        <w:rPr>
          <w:rFonts w:ascii="Times New Roman" w:eastAsia="Times New Roman" w:hAnsi="Times New Roman" w:cs="Times New Roman"/>
          <w:color w:val="000000"/>
          <w:sz w:val="24"/>
          <w:szCs w:val="24"/>
        </w:rPr>
        <w:t xml:space="preserve">is one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futures contract</w:t>
      </w:r>
      <w:r>
        <w:rPr>
          <w:rFonts w:ascii="Times New Roman" w:eastAsia="Times New Roman" w:hAnsi="Times New Roman" w:cs="Times New Roman"/>
          <w:color w:val="000000"/>
          <w:sz w:val="24"/>
          <w:szCs w:val="24"/>
        </w:rPr>
        <w:t>,</w:t>
      </w:r>
      <w:r w:rsidRPr="00551FAB">
        <w:rPr>
          <w:rFonts w:ascii="Times New Roman" w:eastAsia="Times New Roman" w:hAnsi="Times New Roman" w:cs="Times New Roman"/>
          <w:color w:val="000000"/>
          <w:sz w:val="24"/>
          <w:szCs w:val="24"/>
        </w:rPr>
        <w:t xml:space="preserve"> which is </w:t>
      </w:r>
      <w:r>
        <w:rPr>
          <w:rFonts w:ascii="Times New Roman" w:eastAsia="Times New Roman" w:hAnsi="Times New Roman" w:cs="Times New Roman"/>
          <w:color w:val="000000"/>
          <w:sz w:val="24"/>
          <w:szCs w:val="24"/>
        </w:rPr>
        <w:t>1,000 barrels</w:t>
      </w:r>
      <w:r w:rsidRPr="00551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Prices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quoted in U.S. dollars and cents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w:t>
      </w:r>
      <w:r w:rsidR="006457B4">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The minimum trading increment </w:t>
      </w:r>
      <w:r>
        <w:rPr>
          <w:rFonts w:ascii="Times New Roman" w:eastAsia="Times New Roman" w:hAnsi="Times New Roman" w:cs="Times New Roman"/>
          <w:color w:val="000000"/>
          <w:sz w:val="24"/>
          <w:szCs w:val="24"/>
        </w:rPr>
        <w:t>will be</w:t>
      </w:r>
      <w:r w:rsidRPr="00551FAB">
        <w:rPr>
          <w:rFonts w:ascii="Times New Roman" w:eastAsia="Times New Roman" w:hAnsi="Times New Roman" w:cs="Times New Roman"/>
          <w:color w:val="000000"/>
          <w:sz w:val="24"/>
          <w:szCs w:val="24"/>
        </w:rPr>
        <w:t xml:space="preserve"> $0.01 per </w:t>
      </w:r>
      <w:r>
        <w:rPr>
          <w:rFonts w:ascii="Times New Roman" w:eastAsia="Times New Roman" w:hAnsi="Times New Roman" w:cs="Times New Roman"/>
          <w:color w:val="000000"/>
          <w:sz w:val="24"/>
          <w:szCs w:val="24"/>
        </w:rPr>
        <w:t>barrel,</w:t>
      </w:r>
      <w:r w:rsidRPr="00551FAB">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10</w:t>
      </w:r>
      <w:r w:rsidRPr="00551FAB">
        <w:rPr>
          <w:rFonts w:ascii="Times New Roman" w:eastAsia="Times New Roman" w:hAnsi="Times New Roman" w:cs="Times New Roman"/>
          <w:color w:val="000000"/>
          <w:sz w:val="24"/>
          <w:szCs w:val="24"/>
        </w:rPr>
        <w:t>.00 per contract.</w:t>
      </w:r>
      <w:r>
        <w:rPr>
          <w:rFonts w:ascii="Times New Roman" w:eastAsia="Times New Roman" w:hAnsi="Times New Roman" w:cs="Times New Roman"/>
          <w:color w:val="000000"/>
          <w:sz w:val="24"/>
          <w:szCs w:val="24"/>
        </w:rPr>
        <w:t xml:space="preserve">  A trade may occur however, at a price of $0.001 per barrel, or $1.00 per contract (a “cabinet trade”).  </w:t>
      </w:r>
    </w:p>
    <w:p w:rsidR="00711AE9" w:rsidRDefault="00317F77" w:rsidP="00317F77">
      <w:pPr>
        <w:spacing w:before="15" w:after="100" w:afterAutospacing="1" w:line="240" w:lineRule="atLeast"/>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Options, like other Exchange-listed contracts, will be cleared by The Options </w:t>
      </w:r>
      <w:r w:rsidRPr="00551FAB">
        <w:rPr>
          <w:rFonts w:ascii="Times New Roman" w:eastAsia="Times New Roman" w:hAnsi="Times New Roman" w:cs="Times New Roman"/>
          <w:color w:val="000000"/>
          <w:sz w:val="24"/>
          <w:szCs w:val="24"/>
        </w:rPr>
        <w:t xml:space="preserve">Clearing Corporation </w:t>
      </w:r>
      <w:r>
        <w:rPr>
          <w:rFonts w:ascii="Times New Roman" w:eastAsia="Times New Roman" w:hAnsi="Times New Roman" w:cs="Times New Roman"/>
          <w:color w:val="000000"/>
          <w:sz w:val="24"/>
          <w:szCs w:val="24"/>
        </w:rPr>
        <w:t>(“</w:t>
      </w:r>
      <w:r w:rsidRPr="00CF5D12">
        <w:rPr>
          <w:rFonts w:ascii="Times New Roman" w:eastAsia="Times New Roman" w:hAnsi="Times New Roman" w:cs="Times New Roman"/>
          <w:color w:val="000000"/>
          <w:sz w:val="24"/>
          <w:szCs w:val="24"/>
          <w:u w:val="single"/>
        </w:rPr>
        <w:t>OCC</w:t>
      </w:r>
      <w:r>
        <w:rPr>
          <w:rFonts w:ascii="Times New Roman" w:eastAsia="Times New Roman" w:hAnsi="Times New Roman" w:cs="Times New Roman"/>
          <w:color w:val="000000"/>
          <w:sz w:val="24"/>
          <w:szCs w:val="24"/>
        </w:rPr>
        <w:t xml:space="preserve">”).  Subject to OCC </w:t>
      </w:r>
      <w:r w:rsidRPr="00551FAB">
        <w:rPr>
          <w:rFonts w:ascii="Times New Roman" w:eastAsia="Times New Roman" w:hAnsi="Times New Roman" w:cs="Times New Roman"/>
          <w:color w:val="000000"/>
          <w:sz w:val="24"/>
          <w:szCs w:val="24"/>
        </w:rPr>
        <w:t xml:space="preserve">rules, upon exercise the holder </w:t>
      </w:r>
      <w:r>
        <w:rPr>
          <w:rFonts w:ascii="Times New Roman" w:eastAsia="Times New Roman" w:hAnsi="Times New Roman" w:cs="Times New Roman"/>
          <w:color w:val="000000"/>
          <w:sz w:val="24"/>
          <w:szCs w:val="24"/>
        </w:rPr>
        <w:t xml:space="preserve">of a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 xml:space="preserve">Option will </w:t>
      </w:r>
      <w:r w:rsidRPr="00551FA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ve</w:t>
      </w:r>
      <w:r w:rsidRPr="00551FAB">
        <w:rPr>
          <w:rFonts w:ascii="Times New Roman" w:eastAsia="Times New Roman" w:hAnsi="Times New Roman" w:cs="Times New Roman"/>
          <w:color w:val="000000"/>
          <w:sz w:val="24"/>
          <w:szCs w:val="24"/>
        </w:rPr>
        <w:t xml:space="preserve"> the right,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long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short position in the underlying </w:t>
      </w:r>
      <w:r>
        <w:rPr>
          <w:rFonts w:ascii="Times New Roman" w:eastAsia="Times New Roman" w:hAnsi="Times New Roman" w:cs="Times New Roman"/>
          <w:color w:val="000000"/>
          <w:sz w:val="24"/>
          <w:szCs w:val="24"/>
        </w:rPr>
        <w:t>RTIQ</w:t>
      </w:r>
      <w:r w:rsidRPr="00551FAB">
        <w:rPr>
          <w:rFonts w:ascii="Times New Roman" w:eastAsia="Times New Roman" w:hAnsi="Times New Roman" w:cs="Times New Roman"/>
          <w:color w:val="000000"/>
          <w:sz w:val="24"/>
          <w:szCs w:val="24"/>
        </w:rPr>
        <w:t xml:space="preserve"> 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Likewise, s</w:t>
      </w:r>
      <w:r w:rsidRPr="00551FAB">
        <w:rPr>
          <w:rFonts w:ascii="Times New Roman" w:eastAsia="Times New Roman" w:hAnsi="Times New Roman" w:cs="Times New Roman"/>
          <w:color w:val="000000"/>
          <w:sz w:val="24"/>
          <w:szCs w:val="24"/>
        </w:rPr>
        <w:t xml:space="preserve">ubject to </w:t>
      </w:r>
      <w:r>
        <w:rPr>
          <w:rFonts w:ascii="Times New Roman" w:eastAsia="Times New Roman" w:hAnsi="Times New Roman" w:cs="Times New Roman"/>
          <w:color w:val="000000"/>
          <w:sz w:val="24"/>
          <w:szCs w:val="24"/>
        </w:rPr>
        <w:t xml:space="preserve">OCC </w:t>
      </w:r>
      <w:r w:rsidRPr="00551FAB">
        <w:rPr>
          <w:rFonts w:ascii="Times New Roman" w:eastAsia="Times New Roman" w:hAnsi="Times New Roman" w:cs="Times New Roman"/>
          <w:color w:val="000000"/>
          <w:sz w:val="24"/>
          <w:szCs w:val="24"/>
        </w:rPr>
        <w:t xml:space="preserve">rules, a writer </w:t>
      </w:r>
      <w:r>
        <w:rPr>
          <w:rFonts w:ascii="Times New Roman" w:eastAsia="Times New Roman" w:hAnsi="Times New Roman" w:cs="Times New Roman"/>
          <w:color w:val="000000"/>
          <w:sz w:val="24"/>
          <w:szCs w:val="24"/>
        </w:rPr>
        <w:t xml:space="preserve">of the 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 will have</w:t>
      </w:r>
      <w:r w:rsidRPr="00551FAB">
        <w:rPr>
          <w:rFonts w:ascii="Times New Roman" w:eastAsia="Times New Roman" w:hAnsi="Times New Roman" w:cs="Times New Roman"/>
          <w:color w:val="000000"/>
          <w:sz w:val="24"/>
          <w:szCs w:val="24"/>
        </w:rPr>
        <w:t xml:space="preserve"> the obligation, upon assignment by </w:t>
      </w:r>
      <w:r>
        <w:rPr>
          <w:rFonts w:ascii="Times New Roman" w:eastAsia="Times New Roman" w:hAnsi="Times New Roman" w:cs="Times New Roman"/>
          <w:color w:val="000000"/>
          <w:sz w:val="24"/>
          <w:szCs w:val="24"/>
        </w:rPr>
        <w:t>OCC</w:t>
      </w:r>
      <w:r w:rsidRPr="00551FAB">
        <w:rPr>
          <w:rFonts w:ascii="Times New Roman" w:eastAsia="Times New Roman" w:hAnsi="Times New Roman" w:cs="Times New Roman"/>
          <w:color w:val="000000"/>
          <w:sz w:val="24"/>
          <w:szCs w:val="24"/>
        </w:rPr>
        <w:t xml:space="preserve"> of an exercise in respect of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in the case of a call,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call replaced by a short position in the 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and in the case of a put, to have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put replaced by a l</w:t>
      </w:r>
      <w:r>
        <w:rPr>
          <w:rFonts w:ascii="Times New Roman" w:eastAsia="Times New Roman" w:hAnsi="Times New Roman" w:cs="Times New Roman"/>
          <w:color w:val="000000"/>
          <w:sz w:val="24"/>
          <w:szCs w:val="24"/>
        </w:rPr>
        <w:t>ong position in the underlying RTIQ f</w:t>
      </w:r>
      <w:r w:rsidRPr="00551FAB">
        <w:rPr>
          <w:rFonts w:ascii="Times New Roman" w:eastAsia="Times New Roman" w:hAnsi="Times New Roman" w:cs="Times New Roman"/>
          <w:color w:val="000000"/>
          <w:sz w:val="24"/>
          <w:szCs w:val="24"/>
        </w:rPr>
        <w:t xml:space="preserve">utures contract equal to the unit of trading for </w:t>
      </w:r>
      <w:r>
        <w:rPr>
          <w:rFonts w:ascii="Times New Roman" w:eastAsia="Times New Roman" w:hAnsi="Times New Roman" w:cs="Times New Roman"/>
          <w:color w:val="000000"/>
          <w:sz w:val="24"/>
          <w:szCs w:val="24"/>
        </w:rPr>
        <w:t>the</w:t>
      </w:r>
      <w:r w:rsidRPr="00551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0475D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ption.</w:t>
      </w:r>
      <w:r>
        <w:rPr>
          <w:rFonts w:ascii="Times New Roman" w:eastAsia="Times New Roman" w:hAnsi="Times New Roman" w:cs="Times New Roman"/>
          <w:color w:val="000000"/>
          <w:sz w:val="24"/>
          <w:szCs w:val="24"/>
        </w:rPr>
        <w:t xml:space="preserve"> </w:t>
      </w:r>
      <w:r w:rsidR="00A748C7">
        <w:rPr>
          <w:rFonts w:ascii="Times New Roman" w:eastAsia="Times New Roman" w:hAnsi="Times New Roman" w:cs="Times New Roman"/>
          <w:color w:val="000000"/>
          <w:sz w:val="24"/>
          <w:szCs w:val="24"/>
        </w:rPr>
        <w:t xml:space="preserve"> </w:t>
      </w:r>
      <w:r w:rsidRPr="00551FAB">
        <w:rPr>
          <w:rFonts w:ascii="Times New Roman" w:eastAsia="Times New Roman" w:hAnsi="Times New Roman" w:cs="Times New Roman"/>
          <w:color w:val="000000"/>
          <w:sz w:val="24"/>
          <w:szCs w:val="24"/>
        </w:rPr>
        <w:t xml:space="preserve">Underlying </w:t>
      </w:r>
      <w:r>
        <w:rPr>
          <w:rFonts w:ascii="Times New Roman" w:eastAsia="Times New Roman" w:hAnsi="Times New Roman" w:cs="Times New Roman"/>
          <w:color w:val="000000"/>
          <w:sz w:val="24"/>
          <w:szCs w:val="24"/>
        </w:rPr>
        <w:t xml:space="preserve">RTIQ </w:t>
      </w:r>
      <w:r w:rsidRPr="00551FAB">
        <w:rPr>
          <w:rFonts w:ascii="Times New Roman" w:eastAsia="Times New Roman" w:hAnsi="Times New Roman" w:cs="Times New Roman"/>
          <w:color w:val="000000"/>
          <w:sz w:val="24"/>
          <w:szCs w:val="24"/>
        </w:rPr>
        <w:t xml:space="preserve">futures contracts that are opened in settlement of exercises and assignments of </w:t>
      </w:r>
      <w:r>
        <w:rPr>
          <w:rFonts w:ascii="Times New Roman" w:eastAsia="Times New Roman" w:hAnsi="Times New Roman" w:cs="Times New Roman"/>
          <w:color w:val="000000"/>
          <w:sz w:val="24"/>
          <w:szCs w:val="24"/>
        </w:rPr>
        <w:t xml:space="preserve">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Option</w:t>
      </w:r>
      <w:r w:rsidRPr="00551FAB">
        <w:rPr>
          <w:rFonts w:ascii="Times New Roman" w:eastAsia="Times New Roman" w:hAnsi="Times New Roman" w:cs="Times New Roman"/>
          <w:color w:val="000000"/>
          <w:sz w:val="24"/>
          <w:szCs w:val="24"/>
        </w:rPr>
        <w:t xml:space="preserve"> shall be deemed to have been opened on the day of exercise and shall be deemed to be opened at the exercise price for </w:t>
      </w:r>
      <w:r>
        <w:rPr>
          <w:rFonts w:ascii="Times New Roman" w:eastAsia="Times New Roman" w:hAnsi="Times New Roman" w:cs="Times New Roman"/>
          <w:color w:val="000000"/>
          <w:sz w:val="24"/>
          <w:szCs w:val="24"/>
        </w:rPr>
        <w:t xml:space="preserve">the WTI </w:t>
      </w:r>
      <w:r w:rsidR="007739C3">
        <w:rPr>
          <w:rFonts w:ascii="Times New Roman" w:eastAsia="Times New Roman" w:hAnsi="Times New Roman" w:cs="Times New Roman"/>
          <w:color w:val="000000"/>
          <w:sz w:val="24"/>
          <w:szCs w:val="24"/>
        </w:rPr>
        <w:t>1st</w:t>
      </w:r>
      <w:r w:rsidR="0014156C">
        <w:rPr>
          <w:rFonts w:ascii="Times New Roman" w:eastAsia="Times New Roman" w:hAnsi="Times New Roman" w:cs="Times New Roman"/>
          <w:color w:val="000000"/>
          <w:sz w:val="24"/>
          <w:szCs w:val="24"/>
        </w:rPr>
        <w:t xml:space="preserve"> Line </w:t>
      </w:r>
      <w:r>
        <w:rPr>
          <w:rFonts w:ascii="Times New Roman" w:eastAsia="Times New Roman" w:hAnsi="Times New Roman" w:cs="Times New Roman"/>
          <w:color w:val="000000"/>
          <w:sz w:val="24"/>
          <w:szCs w:val="24"/>
        </w:rPr>
        <w:t>O</w:t>
      </w:r>
      <w:r w:rsidRPr="00551FAB">
        <w:rPr>
          <w:rFonts w:ascii="Times New Roman" w:eastAsia="Times New Roman" w:hAnsi="Times New Roman" w:cs="Times New Roman"/>
          <w:color w:val="000000"/>
          <w:sz w:val="24"/>
          <w:szCs w:val="24"/>
        </w:rPr>
        <w:t xml:space="preserve">ption, which shall be deemed the contract price for </w:t>
      </w:r>
      <w:r>
        <w:rPr>
          <w:rFonts w:ascii="Times New Roman" w:eastAsia="Times New Roman" w:hAnsi="Times New Roman" w:cs="Times New Roman"/>
          <w:color w:val="000000"/>
          <w:sz w:val="24"/>
          <w:szCs w:val="24"/>
        </w:rPr>
        <w:t xml:space="preserve">the RTIQ </w:t>
      </w:r>
      <w:r w:rsidRPr="00551FAB">
        <w:rPr>
          <w:rFonts w:ascii="Times New Roman" w:eastAsia="Times New Roman" w:hAnsi="Times New Roman" w:cs="Times New Roman"/>
          <w:color w:val="000000"/>
          <w:sz w:val="24"/>
          <w:szCs w:val="24"/>
        </w:rPr>
        <w:t>contract.</w:t>
      </w:r>
      <w:r w:rsidR="00F84782">
        <w:rPr>
          <w:rFonts w:ascii="Times New Roman" w:eastAsia="Times New Roman" w:hAnsi="Times New Roman" w:cs="Times New Roman"/>
          <w:color w:val="000000"/>
          <w:sz w:val="24"/>
          <w:szCs w:val="24"/>
        </w:rPr>
        <w:t xml:space="preserve"> </w:t>
      </w: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 xml:space="preserve">Options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w:t>
      </w:r>
      <w:r w:rsidR="003E3285">
        <w:rPr>
          <w:rFonts w:ascii="Times New Roman" w:eastAsia="Calibri" w:hAnsi="Times New Roman" w:cs="Times New Roman"/>
          <w:sz w:val="24"/>
          <w:szCs w:val="24"/>
        </w:rPr>
        <w:t>Chapter</w:t>
      </w:r>
      <w:r w:rsidR="00543F89">
        <w:rPr>
          <w:rFonts w:ascii="Times New Roman" w:eastAsia="Calibri" w:hAnsi="Times New Roman" w:cs="Times New Roman"/>
          <w:sz w:val="24"/>
          <w:szCs w:val="24"/>
        </w:rPr>
        <w:t>s</w:t>
      </w:r>
      <w:r w:rsidR="003E3285">
        <w:rPr>
          <w:rFonts w:ascii="Times New Roman" w:eastAsia="Calibri" w:hAnsi="Times New Roman" w:cs="Times New Roman"/>
          <w:sz w:val="24"/>
          <w:szCs w:val="24"/>
        </w:rPr>
        <w:t xml:space="preserve"> </w:t>
      </w:r>
      <w:r w:rsidR="00B749AF">
        <w:rPr>
          <w:rFonts w:ascii="Times New Roman" w:eastAsia="Calibri" w:hAnsi="Times New Roman" w:cs="Times New Roman"/>
          <w:sz w:val="24"/>
          <w:szCs w:val="24"/>
        </w:rPr>
        <w:t>101</w:t>
      </w:r>
      <w:r w:rsidR="003E3285">
        <w:rPr>
          <w:rFonts w:ascii="Times New Roman" w:eastAsia="Calibri" w:hAnsi="Times New Roman" w:cs="Times New Roman"/>
          <w:sz w:val="24"/>
          <w:szCs w:val="24"/>
        </w:rPr>
        <w:t xml:space="preserve">C </w:t>
      </w:r>
      <w:r w:rsidR="00543F89">
        <w:rPr>
          <w:rFonts w:ascii="Times New Roman" w:eastAsia="Calibri" w:hAnsi="Times New Roman" w:cs="Times New Roman"/>
          <w:sz w:val="24"/>
          <w:szCs w:val="24"/>
        </w:rPr>
        <w:t xml:space="preserve">and 103D </w:t>
      </w:r>
      <w:r w:rsidR="003E3285">
        <w:rPr>
          <w:rFonts w:ascii="Times New Roman" w:eastAsia="Calibri" w:hAnsi="Times New Roman" w:cs="Times New Roman"/>
          <w:sz w:val="24"/>
          <w:szCs w:val="24"/>
        </w:rPr>
        <w:t xml:space="preserve">of </w:t>
      </w:r>
      <w:r>
        <w:rPr>
          <w:rFonts w:ascii="Times New Roman" w:eastAsia="Calibri" w:hAnsi="Times New Roman" w:cs="Times New Roman"/>
          <w:sz w:val="24"/>
          <w:szCs w:val="24"/>
        </w:rPr>
        <w:t>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In addition, trading of </w:t>
      </w:r>
      <w:r w:rsidR="0014156C">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9B56C3">
        <w:rPr>
          <w:rFonts w:ascii="Times New Roman" w:eastAsia="Calibri" w:hAnsi="Times New Roman" w:cs="Times New Roman"/>
          <w:sz w:val="24"/>
          <w:szCs w:val="24"/>
        </w:rPr>
        <w:t>Option contracts</w:t>
      </w:r>
      <w:r w:rsidR="00394142">
        <w:rPr>
          <w:rFonts w:ascii="Times New Roman" w:eastAsia="Calibri" w:hAnsi="Times New Roman" w:cs="Times New Roman"/>
          <w:sz w:val="24"/>
          <w:szCs w:val="24"/>
        </w:rPr>
        <w:t xml:space="preserve">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B1577">
        <w:rPr>
          <w:rFonts w:ascii="Times New Roman" w:eastAsia="Calibri" w:hAnsi="Times New Roman" w:cs="Times New Roman"/>
          <w:sz w:val="24"/>
          <w:szCs w:val="24"/>
        </w:rPr>
        <w:t>Options</w:t>
      </w:r>
      <w:r w:rsidR="00A43066">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will</w:t>
      </w:r>
      <w:r w:rsidR="00A43066">
        <w:rPr>
          <w:rFonts w:ascii="Times New Roman" w:eastAsia="Calibri" w:hAnsi="Times New Roman" w:cs="Times New Roman"/>
          <w:sz w:val="24"/>
          <w:szCs w:val="24"/>
        </w:rPr>
        <w:t xml:space="preserve"> not involve the physical delivery of commodities</w:t>
      </w:r>
      <w:r w:rsidR="009B56C3">
        <w:rPr>
          <w:rFonts w:ascii="Times New Roman" w:eastAsia="Calibri" w:hAnsi="Times New Roman" w:cs="Times New Roman"/>
          <w:sz w:val="24"/>
          <w:szCs w:val="24"/>
        </w:rPr>
        <w:t xml:space="preserve"> but instead</w:t>
      </w:r>
      <w:r w:rsidR="00A43066">
        <w:rPr>
          <w:rFonts w:ascii="Times New Roman" w:eastAsia="Calibri" w:hAnsi="Times New Roman" w:cs="Times New Roman"/>
          <w:sz w:val="24"/>
          <w:szCs w:val="24"/>
        </w:rPr>
        <w:t xml:space="preserve"> will settle </w:t>
      </w:r>
      <w:r w:rsidR="009B56C3">
        <w:rPr>
          <w:rFonts w:ascii="Times New Roman" w:eastAsia="Calibri" w:hAnsi="Times New Roman" w:cs="Times New Roman"/>
          <w:sz w:val="24"/>
          <w:szCs w:val="24"/>
        </w:rPr>
        <w:t xml:space="preserve">into futures contracts whose </w:t>
      </w:r>
      <w:r w:rsidR="003579D4">
        <w:rPr>
          <w:rFonts w:ascii="Times New Roman" w:eastAsia="Calibri" w:hAnsi="Times New Roman" w:cs="Times New Roman"/>
          <w:sz w:val="24"/>
          <w:szCs w:val="24"/>
        </w:rPr>
        <w:t xml:space="preserve">prices </w:t>
      </w:r>
      <w:r w:rsidR="009B56C3">
        <w:rPr>
          <w:rFonts w:ascii="Times New Roman" w:eastAsia="Calibri" w:hAnsi="Times New Roman" w:cs="Times New Roman"/>
          <w:sz w:val="24"/>
          <w:szCs w:val="24"/>
        </w:rPr>
        <w:t xml:space="preserve">are </w:t>
      </w:r>
      <w:r w:rsidR="003579D4">
        <w:rPr>
          <w:rFonts w:ascii="Times New Roman" w:eastAsia="Calibri" w:hAnsi="Times New Roman" w:cs="Times New Roman"/>
          <w:sz w:val="24"/>
          <w:szCs w:val="24"/>
        </w:rPr>
        <w:t xml:space="preserve">derived from </w:t>
      </w:r>
      <w:r w:rsidR="00A43066">
        <w:rPr>
          <w:rFonts w:ascii="Times New Roman" w:eastAsia="Calibri" w:hAnsi="Times New Roman" w:cs="Times New Roman"/>
          <w:sz w:val="24"/>
          <w:szCs w:val="24"/>
        </w:rPr>
        <w:t xml:space="preserve">prices published on </w:t>
      </w:r>
      <w:r w:rsidR="003E3285">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we</w:t>
      </w:r>
      <w:r w:rsidR="003E3285">
        <w:rPr>
          <w:rFonts w:ascii="Times New Roman" w:eastAsia="Calibri" w:hAnsi="Times New Roman" w:cs="Times New Roman"/>
          <w:sz w:val="24"/>
          <w:szCs w:val="24"/>
        </w:rPr>
        <w:t>ll-established reference source</w:t>
      </w:r>
      <w:r w:rsidR="00A43066">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t>
      </w:r>
      <w:r w:rsidR="007667BD" w:rsidRPr="007667BD">
        <w:rPr>
          <w:rFonts w:ascii="Times New Roman" w:eastAsia="Calibri" w:hAnsi="Times New Roman" w:cs="Times New Roman"/>
          <w:sz w:val="24"/>
          <w:szCs w:val="24"/>
        </w:rPr>
        <w:lastRenderedPageBreak/>
        <w:t xml:space="preserve">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A35B1F" w:rsidP="007D2EEF">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 xml:space="preserve">Options </w:t>
      </w:r>
      <w:r w:rsidR="009B56C3">
        <w:rPr>
          <w:rFonts w:ascii="Times New Roman" w:eastAsia="Calibri" w:hAnsi="Times New Roman" w:cs="Times New Roman"/>
          <w:sz w:val="24"/>
          <w:szCs w:val="24"/>
        </w:rPr>
        <w:t xml:space="preserve">will </w:t>
      </w:r>
      <w:r w:rsidRPr="00A35B1F">
        <w:rPr>
          <w:rFonts w:ascii="Times New Roman" w:eastAsia="Calibri" w:hAnsi="Times New Roman" w:cs="Times New Roman"/>
          <w:sz w:val="24"/>
          <w:szCs w:val="24"/>
        </w:rPr>
        <w:t xml:space="preserve">settle </w:t>
      </w:r>
      <w:r w:rsidR="009B56C3">
        <w:rPr>
          <w:rFonts w:ascii="Times New Roman" w:eastAsia="Calibri" w:hAnsi="Times New Roman" w:cs="Times New Roman"/>
          <w:sz w:val="24"/>
          <w:szCs w:val="24"/>
        </w:rPr>
        <w:t xml:space="preserve">into the Exchange’s </w:t>
      </w:r>
      <w:r w:rsidR="008E185B">
        <w:rPr>
          <w:rFonts w:ascii="Times New Roman" w:eastAsia="Calibri" w:hAnsi="Times New Roman" w:cs="Times New Roman"/>
          <w:sz w:val="24"/>
          <w:szCs w:val="24"/>
        </w:rPr>
        <w:t xml:space="preserve">existing </w:t>
      </w:r>
      <w:r w:rsidR="007B1577">
        <w:rPr>
          <w:rFonts w:ascii="Times New Roman" w:eastAsia="Calibri" w:hAnsi="Times New Roman" w:cs="Times New Roman"/>
          <w:sz w:val="24"/>
          <w:szCs w:val="24"/>
        </w:rPr>
        <w:t>futures contract</w:t>
      </w:r>
      <w:r w:rsidR="009B56C3">
        <w:rPr>
          <w:rFonts w:ascii="Times New Roman" w:eastAsia="Calibri" w:hAnsi="Times New Roman" w:cs="Times New Roman"/>
          <w:sz w:val="24"/>
          <w:szCs w:val="24"/>
        </w:rPr>
        <w:t xml:space="preserve">s </w:t>
      </w:r>
      <w:r w:rsidR="008E185B">
        <w:rPr>
          <w:rFonts w:ascii="Times New Roman" w:eastAsia="Calibri" w:hAnsi="Times New Roman" w:cs="Times New Roman"/>
          <w:sz w:val="24"/>
          <w:szCs w:val="24"/>
        </w:rPr>
        <w:t xml:space="preserve">whose </w:t>
      </w:r>
      <w:r w:rsidR="00543F89">
        <w:rPr>
          <w:rFonts w:ascii="Times New Roman" w:eastAsia="Calibri" w:hAnsi="Times New Roman" w:cs="Times New Roman"/>
          <w:sz w:val="24"/>
          <w:szCs w:val="24"/>
        </w:rPr>
        <w:t xml:space="preserve">settlement prices are </w:t>
      </w:r>
      <w:r w:rsidR="008E185B">
        <w:rPr>
          <w:rFonts w:ascii="Times New Roman" w:eastAsia="Calibri" w:hAnsi="Times New Roman" w:cs="Times New Roman"/>
          <w:sz w:val="24"/>
          <w:szCs w:val="24"/>
        </w:rPr>
        <w:t xml:space="preserve">based on long-established and highly liquid reference contracts that are traded under the CFTC’s jurisdiction.  The reference contracts themselves are based on established and liquid underlying cash markets.  Because they are based on highly liquid third-party contracts,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185B">
        <w:rPr>
          <w:rFonts w:ascii="Times New Roman" w:eastAsia="Calibri" w:hAnsi="Times New Roman" w:cs="Times New Roman"/>
          <w:sz w:val="24"/>
          <w:szCs w:val="24"/>
        </w:rPr>
        <w:t>Options are not readily susceptible to manipulation.  The E</w:t>
      </w:r>
      <w:r w:rsidR="007D2EEF">
        <w:rPr>
          <w:rFonts w:ascii="Times New Roman" w:eastAsia="Calibri" w:hAnsi="Times New Roman" w:cs="Times New Roman"/>
          <w:sz w:val="24"/>
          <w:szCs w:val="24"/>
        </w:rPr>
        <w:t>x</w:t>
      </w:r>
      <w:r w:rsidR="008E185B">
        <w:rPr>
          <w:rFonts w:ascii="Times New Roman" w:eastAsia="Calibri" w:hAnsi="Times New Roman" w:cs="Times New Roman"/>
          <w:sz w:val="24"/>
          <w:szCs w:val="24"/>
        </w:rPr>
        <w:t xml:space="preserve">change has consulted with market users </w:t>
      </w:r>
      <w:r w:rsidR="007D2EEF">
        <w:rPr>
          <w:rFonts w:ascii="Times New Roman" w:eastAsia="Calibri" w:hAnsi="Times New Roman" w:cs="Times New Roman"/>
          <w:sz w:val="24"/>
          <w:szCs w:val="24"/>
        </w:rPr>
        <w:t xml:space="preserve">to obtain their views and opinions during the contract design process.  </w:t>
      </w:r>
    </w:p>
    <w:p w:rsidR="009B56C3" w:rsidRDefault="009B56C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B25CED"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394142">
        <w:rPr>
          <w:rFonts w:ascii="Times New Roman" w:eastAsia="Calibri" w:hAnsi="Times New Roman" w:cs="Times New Roman"/>
          <w:sz w:val="24"/>
          <w:szCs w:val="24"/>
        </w:rPr>
        <w:t xml:space="preserve">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s contracts</w:t>
      </w:r>
      <w:r w:rsidR="00A43066">
        <w:rPr>
          <w:rFonts w:ascii="Times New Roman" w:eastAsia="Calibri" w:hAnsi="Times New Roman" w:cs="Times New Roman"/>
          <w:sz w:val="24"/>
          <w:szCs w:val="24"/>
        </w:rPr>
        <w:t xml:space="preserve">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w:t>
      </w:r>
      <w:r w:rsidR="009B56C3">
        <w:rPr>
          <w:rFonts w:ascii="Times New Roman" w:eastAsia="Calibri" w:hAnsi="Times New Roman" w:cs="Times New Roman"/>
          <w:sz w:val="24"/>
          <w:szCs w:val="24"/>
        </w:rPr>
        <w:t xml:space="preserve">the </w:t>
      </w:r>
      <w:r w:rsidR="0087786E">
        <w:rPr>
          <w:rFonts w:ascii="Times New Roman" w:eastAsia="Calibri" w:hAnsi="Times New Roman" w:cs="Times New Roman"/>
          <w:sz w:val="24"/>
          <w:szCs w:val="24"/>
        </w:rPr>
        <w:t xml:space="preserve">Brent and WTI </w:t>
      </w:r>
      <w:r w:rsidR="009B56C3">
        <w:rPr>
          <w:rFonts w:ascii="Times New Roman" w:eastAsia="Calibri" w:hAnsi="Times New Roman" w:cs="Times New Roman"/>
          <w:sz w:val="24"/>
          <w:szCs w:val="24"/>
        </w:rPr>
        <w:t>market</w:t>
      </w:r>
      <w:r w:rsidR="0087786E">
        <w:rPr>
          <w:rFonts w:ascii="Times New Roman" w:eastAsia="Calibri" w:hAnsi="Times New Roman" w:cs="Times New Roman"/>
          <w:sz w:val="24"/>
          <w:szCs w:val="24"/>
        </w:rPr>
        <w:t>s</w:t>
      </w:r>
      <w:r w:rsidR="000313E1">
        <w:rPr>
          <w:rFonts w:ascii="Times New Roman" w:eastAsia="Calibri" w:hAnsi="Times New Roman" w:cs="Times New Roman"/>
          <w:sz w:val="24"/>
          <w:szCs w:val="24"/>
        </w:rPr>
        <w:t xml:space="preserve"> </w:t>
      </w:r>
      <w:r w:rsidR="009B56C3">
        <w:rPr>
          <w:rFonts w:ascii="Times New Roman" w:eastAsia="Calibri" w:hAnsi="Times New Roman" w:cs="Times New Roman"/>
          <w:sz w:val="24"/>
          <w:szCs w:val="24"/>
        </w:rPr>
        <w:t>against which</w:t>
      </w:r>
      <w:r w:rsidR="000313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futures contract underlying </w:t>
      </w:r>
      <w:r w:rsidR="009B56C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Pr>
          <w:rFonts w:ascii="Times New Roman" w:eastAsia="Calibri" w:hAnsi="Times New Roman" w:cs="Times New Roman"/>
          <w:sz w:val="24"/>
          <w:szCs w:val="24"/>
        </w:rPr>
        <w:t xml:space="preserve">Options </w:t>
      </w:r>
      <w:r w:rsidR="000313E1">
        <w:rPr>
          <w:rFonts w:ascii="Times New Roman" w:eastAsia="Calibri" w:hAnsi="Times New Roman" w:cs="Times New Roman"/>
          <w:sz w:val="24"/>
          <w:szCs w:val="24"/>
        </w:rPr>
        <w:t>settle</w:t>
      </w:r>
      <w:r w:rsidR="0087786E">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7D6B15" w:rsidRDefault="00DD389D" w:rsidP="00D057E9">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B25CED">
        <w:rPr>
          <w:rFonts w:ascii="Times New Roman" w:eastAsia="Calibri" w:hAnsi="Times New Roman" w:cs="Times New Roman"/>
          <w:sz w:val="24"/>
          <w:szCs w:val="24"/>
        </w:rPr>
        <w:t>Options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 xml:space="preserve">Rulebook Appendix B – </w:t>
      </w:r>
      <w:r w:rsidR="00F16EA3" w:rsidRPr="007D6B15">
        <w:rPr>
          <w:rFonts w:ascii="Times New Roman" w:eastAsia="Calibri" w:hAnsi="Times New Roman" w:cs="Times New Roman"/>
          <w:sz w:val="24"/>
          <w:szCs w:val="24"/>
        </w:rPr>
        <w:t>Table of Reporting Levels, Position Accountability Levels and Position Limits.</w:t>
      </w:r>
      <w:r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Based on the analysis set forth in the Cash Market Description and Deliverable Supply Analysis attached as </w:t>
      </w:r>
      <w:r w:rsidR="00E36D1C" w:rsidRPr="007D6B15">
        <w:rPr>
          <w:rFonts w:ascii="Times New Roman" w:eastAsia="Calibri" w:hAnsi="Times New Roman" w:cs="Times New Roman"/>
          <w:sz w:val="24"/>
          <w:szCs w:val="24"/>
          <w:u w:val="single"/>
        </w:rPr>
        <w:t>Exhibit 3</w:t>
      </w:r>
      <w:r w:rsidR="00E36D1C" w:rsidRPr="007D6B15">
        <w:rPr>
          <w:rFonts w:ascii="Times New Roman" w:eastAsia="Calibri" w:hAnsi="Times New Roman" w:cs="Times New Roman"/>
          <w:sz w:val="24"/>
          <w:szCs w:val="24"/>
        </w:rPr>
        <w:t xml:space="preserve">, the Exchange is setting its spot month position limit and accountability levels commensurate with those established by </w:t>
      </w:r>
      <w:r w:rsidR="008E2972">
        <w:rPr>
          <w:rFonts w:ascii="Times New Roman" w:eastAsia="Calibri" w:hAnsi="Times New Roman" w:cs="Times New Roman"/>
          <w:sz w:val="24"/>
          <w:szCs w:val="24"/>
        </w:rPr>
        <w:t>NYMEX</w:t>
      </w:r>
      <w:r w:rsidR="00E36D1C" w:rsidRPr="007D6B15">
        <w:rPr>
          <w:rFonts w:ascii="Times New Roman" w:eastAsia="Calibri" w:hAnsi="Times New Roman" w:cs="Times New Roman"/>
          <w:sz w:val="24"/>
          <w:szCs w:val="24"/>
        </w:rPr>
        <w:t xml:space="preserve"> for the </w:t>
      </w:r>
      <w:r w:rsidR="00517DCB" w:rsidRPr="007D6B15">
        <w:rPr>
          <w:rFonts w:ascii="Times New Roman" w:eastAsia="Calibri" w:hAnsi="Times New Roman" w:cs="Times New Roman"/>
          <w:sz w:val="24"/>
          <w:szCs w:val="24"/>
        </w:rPr>
        <w:t xml:space="preserve">comparable </w:t>
      </w:r>
      <w:r w:rsidR="008E2972">
        <w:rPr>
          <w:rFonts w:ascii="Times New Roman" w:eastAsia="Calibri" w:hAnsi="Times New Roman" w:cs="Times New Roman"/>
          <w:sz w:val="24"/>
          <w:szCs w:val="24"/>
        </w:rPr>
        <w:t xml:space="preserve">NYMEX Brent Oil and WTI crude oil options on futures </w:t>
      </w:r>
      <w:r w:rsidR="00B27BEE" w:rsidRPr="007D6B15">
        <w:rPr>
          <w:rFonts w:ascii="Times New Roman" w:eastAsia="Calibri" w:hAnsi="Times New Roman" w:cs="Times New Roman"/>
          <w:sz w:val="24"/>
          <w:szCs w:val="24"/>
        </w:rPr>
        <w:t>contract</w:t>
      </w:r>
      <w:r w:rsidR="008E2972">
        <w:rPr>
          <w:rFonts w:ascii="Times New Roman" w:eastAsia="Calibri" w:hAnsi="Times New Roman" w:cs="Times New Roman"/>
          <w:sz w:val="24"/>
          <w:szCs w:val="24"/>
        </w:rPr>
        <w:t>s</w:t>
      </w:r>
      <w:r w:rsidR="00E36D1C" w:rsidRPr="007D6B15">
        <w:rPr>
          <w:rFonts w:ascii="Times New Roman" w:eastAsia="Calibri" w:hAnsi="Times New Roman" w:cs="Times New Roman"/>
          <w:sz w:val="24"/>
          <w:szCs w:val="24"/>
        </w:rPr>
        <w:t>.</w:t>
      </w:r>
      <w:r w:rsidR="008E3489" w:rsidRPr="007D6B15" w:rsidDel="008E3489">
        <w:rPr>
          <w:rStyle w:val="FootnoteReference"/>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 </w:t>
      </w:r>
      <w:r w:rsidR="00E873D1">
        <w:rPr>
          <w:rFonts w:ascii="Times New Roman" w:eastAsia="Calibri" w:hAnsi="Times New Roman" w:cs="Times New Roman"/>
          <w:sz w:val="24"/>
          <w:szCs w:val="24"/>
        </w:rPr>
        <w:t xml:space="preserve">A market participant’s combined position in 1st Line Options and the underlying futures contract may not exceed the maximum position limit set for that contract.  </w:t>
      </w:r>
      <w:r w:rsidR="008F34CB" w:rsidRPr="007D6B15">
        <w:rPr>
          <w:rFonts w:ascii="Times New Roman" w:eastAsia="Calibri" w:hAnsi="Times New Roman" w:cs="Times New Roman"/>
          <w:sz w:val="24"/>
          <w:szCs w:val="24"/>
        </w:rPr>
        <w:t xml:space="preserve">Further, </w:t>
      </w:r>
      <w:r w:rsidR="003E3285">
        <w:rPr>
          <w:rFonts w:ascii="Times New Roman" w:eastAsia="Calibri" w:hAnsi="Times New Roman" w:cs="Times New Roman"/>
          <w:sz w:val="24"/>
          <w:szCs w:val="24"/>
        </w:rPr>
        <w:t xml:space="preserve">positions in </w:t>
      </w:r>
      <w:r w:rsidR="008F34CB" w:rsidRPr="007D6B15">
        <w:rPr>
          <w:rFonts w:ascii="Times New Roman" w:eastAsia="Calibri" w:hAnsi="Times New Roman" w:cs="Times New Roman"/>
          <w:sz w:val="24"/>
          <w:szCs w:val="24"/>
        </w:rPr>
        <w:t>th</w:t>
      </w:r>
      <w:r w:rsidR="00E36D1C" w:rsidRPr="007D6B15">
        <w:rPr>
          <w:rFonts w:ascii="Times New Roman" w:eastAsia="Calibri" w:hAnsi="Times New Roman" w:cs="Times New Roman"/>
          <w:sz w:val="24"/>
          <w:szCs w:val="24"/>
        </w:rPr>
        <w:t xml:space="preserve">e </w:t>
      </w:r>
      <w:r w:rsidR="008E2972">
        <w:rPr>
          <w:rFonts w:ascii="Times New Roman" w:eastAsia="Calibri" w:hAnsi="Times New Roman" w:cs="Times New Roman"/>
          <w:sz w:val="24"/>
          <w:szCs w:val="24"/>
        </w:rPr>
        <w:t xml:space="preserve">Brent </w:t>
      </w:r>
      <w:r w:rsidR="007739C3">
        <w:rPr>
          <w:rFonts w:ascii="Times New Roman" w:eastAsia="Calibri" w:hAnsi="Times New Roman" w:cs="Times New Roman"/>
          <w:sz w:val="24"/>
          <w:szCs w:val="24"/>
        </w:rPr>
        <w:t>1st</w:t>
      </w:r>
      <w:r w:rsidR="0014156C">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and WTI </w:t>
      </w:r>
      <w:r w:rsidR="007739C3">
        <w:rPr>
          <w:rFonts w:ascii="Times New Roman" w:eastAsia="Calibri" w:hAnsi="Times New Roman" w:cs="Times New Roman"/>
          <w:sz w:val="24"/>
          <w:szCs w:val="24"/>
        </w:rPr>
        <w:lastRenderedPageBreak/>
        <w:t>1st</w:t>
      </w:r>
      <w:r w:rsidR="0014156C">
        <w:rPr>
          <w:rFonts w:ascii="Times New Roman" w:eastAsia="Calibri" w:hAnsi="Times New Roman" w:cs="Times New Roman"/>
          <w:sz w:val="24"/>
          <w:szCs w:val="24"/>
        </w:rPr>
        <w:t xml:space="preserve"> Line </w:t>
      </w:r>
      <w:r w:rsidR="00711AE9" w:rsidRPr="007D6B15">
        <w:rPr>
          <w:rFonts w:ascii="Times New Roman" w:eastAsia="Calibri" w:hAnsi="Times New Roman" w:cs="Times New Roman"/>
          <w:sz w:val="24"/>
          <w:szCs w:val="24"/>
        </w:rPr>
        <w:t>Option</w:t>
      </w:r>
      <w:r w:rsidR="008E2972">
        <w:rPr>
          <w:rFonts w:ascii="Times New Roman" w:eastAsia="Calibri" w:hAnsi="Times New Roman" w:cs="Times New Roman"/>
          <w:sz w:val="24"/>
          <w:szCs w:val="24"/>
        </w:rPr>
        <w:t>s</w:t>
      </w:r>
      <w:r w:rsidR="00711AE9" w:rsidRPr="007D6B15">
        <w:rPr>
          <w:rFonts w:ascii="Times New Roman" w:eastAsia="Calibri" w:hAnsi="Times New Roman" w:cs="Times New Roman"/>
          <w:sz w:val="24"/>
          <w:szCs w:val="24"/>
        </w:rPr>
        <w:t xml:space="preserve"> </w:t>
      </w:r>
      <w:r w:rsidR="00E36D1C" w:rsidRPr="007D6B15">
        <w:rPr>
          <w:rFonts w:ascii="Times New Roman" w:eastAsia="Calibri" w:hAnsi="Times New Roman" w:cs="Times New Roman"/>
          <w:sz w:val="24"/>
          <w:szCs w:val="24"/>
        </w:rPr>
        <w:t xml:space="preserve">will aggregate into </w:t>
      </w:r>
      <w:r w:rsidR="003E3285">
        <w:rPr>
          <w:rFonts w:ascii="Times New Roman" w:eastAsia="Calibri" w:hAnsi="Times New Roman" w:cs="Times New Roman"/>
          <w:sz w:val="24"/>
          <w:szCs w:val="24"/>
        </w:rPr>
        <w:t xml:space="preserve">positions in </w:t>
      </w:r>
      <w:r w:rsidR="00E36D1C" w:rsidRPr="007D6B15">
        <w:rPr>
          <w:rFonts w:ascii="Times New Roman" w:eastAsia="Calibri" w:hAnsi="Times New Roman" w:cs="Times New Roman"/>
          <w:sz w:val="24"/>
          <w:szCs w:val="24"/>
        </w:rPr>
        <w:t xml:space="preserve">the </w:t>
      </w:r>
      <w:r w:rsidR="00BE4604">
        <w:rPr>
          <w:rFonts w:ascii="Times New Roman" w:eastAsia="Calibri" w:hAnsi="Times New Roman" w:cs="Times New Roman"/>
          <w:sz w:val="24"/>
          <w:szCs w:val="24"/>
        </w:rPr>
        <w:t>parent</w:t>
      </w:r>
      <w:r w:rsidR="00BE4604" w:rsidRPr="007D6B15">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Brent and WTI </w:t>
      </w:r>
      <w:r w:rsidR="00711AE9" w:rsidRPr="007D6B15">
        <w:rPr>
          <w:rFonts w:ascii="Times New Roman" w:eastAsia="Calibri" w:hAnsi="Times New Roman" w:cs="Times New Roman"/>
          <w:sz w:val="24"/>
          <w:szCs w:val="24"/>
        </w:rPr>
        <w:t>futures contract</w:t>
      </w:r>
      <w:r w:rsidR="008E2972">
        <w:rPr>
          <w:rFonts w:ascii="Times New Roman" w:eastAsia="Calibri" w:hAnsi="Times New Roman" w:cs="Times New Roman"/>
          <w:sz w:val="24"/>
          <w:szCs w:val="24"/>
        </w:rPr>
        <w:t>s, respectively</w:t>
      </w:r>
      <w:r w:rsidR="00E36D1C" w:rsidRPr="007D6B15">
        <w:rPr>
          <w:rFonts w:ascii="Times New Roman" w:eastAsia="Calibri" w:hAnsi="Times New Roman" w:cs="Times New Roman"/>
          <w:sz w:val="24"/>
          <w:szCs w:val="24"/>
        </w:rPr>
        <w:t xml:space="preserve">.  </w:t>
      </w:r>
      <w:r w:rsidR="00D057E9">
        <w:rPr>
          <w:rFonts w:ascii="Times New Roman" w:eastAsia="Calibri" w:hAnsi="Times New Roman" w:cs="Times New Roman"/>
          <w:sz w:val="24"/>
          <w:szCs w:val="24"/>
        </w:rPr>
        <w:t xml:space="preserve">  </w:t>
      </w:r>
    </w:p>
    <w:p w:rsidR="00BD66AD" w:rsidRDefault="00D63C25" w:rsidP="004B4800">
      <w:pPr>
        <w:pStyle w:val="PlainText"/>
        <w:ind w:firstLine="1310"/>
        <w:rPr>
          <w:rFonts w:ascii="Times New Roman" w:eastAsia="Calibri" w:hAnsi="Times New Roman"/>
          <w:sz w:val="24"/>
          <w:szCs w:val="24"/>
        </w:rPr>
      </w:pPr>
      <w:r w:rsidRPr="007D6B15">
        <w:rPr>
          <w:rFonts w:ascii="Times New Roman" w:eastAsia="Calibri" w:hAnsi="Times New Roman"/>
          <w:sz w:val="24"/>
          <w:szCs w:val="24"/>
          <w:u w:val="single"/>
        </w:rPr>
        <w:t xml:space="preserve">Core Principle 7 - </w:t>
      </w:r>
      <w:r w:rsidR="00D70163" w:rsidRPr="007D6B15">
        <w:rPr>
          <w:rFonts w:ascii="Times New Roman" w:eastAsia="Calibri" w:hAnsi="Times New Roman"/>
          <w:sz w:val="24"/>
          <w:szCs w:val="24"/>
          <w:u w:val="single"/>
        </w:rPr>
        <w:t>Availability of General Information</w:t>
      </w:r>
      <w:r w:rsidR="00D70163" w:rsidRPr="007D6B15">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1"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Pr="00DD389D">
        <w:rPr>
          <w:rFonts w:ascii="Times New Roman" w:eastAsia="Calibri" w:hAnsi="Times New Roman" w:cs="Times New Roman"/>
          <w:sz w:val="24"/>
          <w:szCs w:val="24"/>
        </w:rPr>
        <w:t xml:space="preserve">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9B56C3" w:rsidRDefault="009B56C3"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Pr>
          <w:rFonts w:ascii="Times New Roman" w:eastAsia="Calibri" w:hAnsi="Times New Roman" w:cs="Times New Roman"/>
          <w:sz w:val="24"/>
          <w:szCs w:val="24"/>
        </w:rPr>
        <w:t xml:space="preserve">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derivatives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w:t>
      </w:r>
      <w:r w:rsidR="00F37BC0">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8E2972">
        <w:rPr>
          <w:rFonts w:ascii="Times New Roman" w:eastAsia="Calibri" w:hAnsi="Times New Roman" w:cs="Times New Roman"/>
          <w:sz w:val="24"/>
          <w:szCs w:val="24"/>
        </w:rPr>
        <w:t xml:space="preserve">Options </w:t>
      </w:r>
      <w:r w:rsidR="006B55A4">
        <w:rPr>
          <w:rFonts w:ascii="Times New Roman" w:eastAsia="Calibri" w:hAnsi="Times New Roman" w:cs="Times New Roman"/>
          <w:sz w:val="24"/>
          <w:szCs w:val="24"/>
        </w:rPr>
        <w:t xml:space="preserve">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Commission regulations OCC will set the speculative customer in</w:t>
      </w:r>
      <w:r w:rsidR="00711AE9">
        <w:rPr>
          <w:rFonts w:ascii="Times New Roman" w:eastAsia="Calibri" w:hAnsi="Times New Roman" w:cs="Times New Roman"/>
          <w:sz w:val="24"/>
          <w:szCs w:val="24"/>
        </w:rPr>
        <w:t>itial margin requirement on the</w:t>
      </w:r>
      <w:r w:rsidR="00B61518"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new </w:t>
      </w:r>
      <w:r w:rsidR="00711AE9">
        <w:rPr>
          <w:rFonts w:ascii="Times New Roman" w:eastAsia="Calibri" w:hAnsi="Times New Roman" w:cs="Times New Roman"/>
          <w:sz w:val="24"/>
          <w:szCs w:val="24"/>
        </w:rPr>
        <w:t>Options</w:t>
      </w:r>
      <w:r w:rsidR="00711AE9" w:rsidRPr="001B6ADA">
        <w:rPr>
          <w:rFonts w:ascii="Times New Roman" w:eastAsia="Calibri" w:hAnsi="Times New Roman" w:cs="Times New Roman"/>
          <w:sz w:val="24"/>
          <w:szCs w:val="24"/>
        </w:rPr>
        <w:t xml:space="preserve"> </w:t>
      </w:r>
      <w:r w:rsidR="008E2972">
        <w:rPr>
          <w:rFonts w:ascii="Times New Roman" w:eastAsia="Calibri" w:hAnsi="Times New Roman" w:cs="Times New Roman"/>
          <w:sz w:val="24"/>
          <w:szCs w:val="24"/>
        </w:rPr>
        <w:t xml:space="preserve">contracts </w:t>
      </w:r>
      <w:r w:rsidR="00B61518" w:rsidRPr="001B6ADA">
        <w:rPr>
          <w:rFonts w:ascii="Times New Roman" w:eastAsia="Calibri" w:hAnsi="Times New Roman" w:cs="Times New Roman"/>
          <w:sz w:val="24"/>
          <w:szCs w:val="24"/>
        </w:rPr>
        <w:t>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w:t>
      </w:r>
      <w:r w:rsidR="00E86489">
        <w:rPr>
          <w:rFonts w:ascii="Times New Roman" w:eastAsia="Calibri" w:hAnsi="Times New Roman" w:cs="Times New Roman"/>
          <w:sz w:val="24"/>
          <w:szCs w:val="24"/>
        </w:rPr>
        <w:t xml:space="preserve">the </w:t>
      </w:r>
      <w:r w:rsidR="007739C3">
        <w:rPr>
          <w:rFonts w:ascii="Times New Roman" w:eastAsia="Calibri" w:hAnsi="Times New Roman" w:cs="Times New Roman"/>
          <w:sz w:val="24"/>
          <w:szCs w:val="24"/>
        </w:rPr>
        <w:t>1st</w:t>
      </w:r>
      <w:r w:rsidR="00E8648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B61518" w:rsidRPr="00B61518">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w:t>
      </w:r>
      <w:r w:rsidR="00B61518" w:rsidRPr="00B61518">
        <w:rPr>
          <w:rFonts w:ascii="Times New Roman" w:eastAsia="Calibri" w:hAnsi="Times New Roman" w:cs="Times New Roman"/>
          <w:sz w:val="24"/>
          <w:szCs w:val="24"/>
        </w:rPr>
        <w:lastRenderedPageBreak/>
        <w:t xml:space="preserve">90 calendar days and monitored daily, with rates being re-set should a one-day change in settlement price exceed the prevailing rate at the time. In addition, OCC has </w:t>
      </w:r>
      <w:r w:rsidR="00D057E9">
        <w:rPr>
          <w:rFonts w:ascii="Times New Roman" w:eastAsia="Calibri" w:hAnsi="Times New Roman" w:cs="Times New Roman"/>
          <w:sz w:val="24"/>
          <w:szCs w:val="24"/>
        </w:rPr>
        <w:t xml:space="preserve">the </w:t>
      </w:r>
      <w:r w:rsidR="00B61518" w:rsidRPr="00B61518">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including the</w:t>
      </w:r>
      <w:r w:rsidR="00711AE9" w:rsidRPr="00711AE9">
        <w:rPr>
          <w:rFonts w:ascii="Times New Roman" w:eastAsia="Calibri" w:hAnsi="Times New Roman" w:cs="Times New Roman"/>
          <w:sz w:val="24"/>
          <w:szCs w:val="24"/>
        </w:rPr>
        <w:t xml:space="preserve"> </w:t>
      </w:r>
      <w:r w:rsidR="007739C3">
        <w:rPr>
          <w:rFonts w:ascii="Times New Roman" w:eastAsia="Calibri" w:hAnsi="Times New Roman" w:cs="Times New Roman"/>
          <w:sz w:val="24"/>
          <w:szCs w:val="24"/>
        </w:rPr>
        <w:t>1st</w:t>
      </w:r>
      <w:r w:rsidR="00D057E9">
        <w:rPr>
          <w:rFonts w:ascii="Times New Roman" w:eastAsia="Calibri" w:hAnsi="Times New Roman" w:cs="Times New Roman"/>
          <w:sz w:val="24"/>
          <w:szCs w:val="24"/>
        </w:rPr>
        <w:t xml:space="preserve"> Line </w:t>
      </w:r>
      <w:r w:rsidR="00711AE9">
        <w:rPr>
          <w:rFonts w:ascii="Times New Roman" w:eastAsia="Calibri" w:hAnsi="Times New Roman" w:cs="Times New Roman"/>
          <w:sz w:val="24"/>
          <w:szCs w:val="24"/>
        </w:rPr>
        <w:t>Options</w:t>
      </w:r>
      <w:r w:rsidR="00417BD5">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711AE9" w:rsidRDefault="00711AE9" w:rsidP="00DC305C">
      <w:pPr>
        <w:pStyle w:val="NoSpacing"/>
        <w:ind w:firstLine="1310"/>
        <w:rPr>
          <w:rFonts w:ascii="Times New Roman" w:eastAsia="Calibri" w:hAnsi="Times New Roman" w:cs="Times New Roman"/>
          <w:sz w:val="24"/>
          <w:szCs w:val="24"/>
          <w:u w:val="single"/>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7739C3">
        <w:rPr>
          <w:rFonts w:ascii="Times New Roman" w:eastAsia="Calibri" w:hAnsi="Times New Roman"/>
          <w:sz w:val="24"/>
          <w:szCs w:val="24"/>
        </w:rPr>
        <w:t>1st</w:t>
      </w:r>
      <w:r w:rsidR="00D057E9">
        <w:rPr>
          <w:rFonts w:ascii="Times New Roman" w:eastAsia="Calibri" w:hAnsi="Times New Roman"/>
          <w:sz w:val="24"/>
          <w:szCs w:val="24"/>
        </w:rPr>
        <w:t xml:space="preserve"> Line</w:t>
      </w:r>
      <w:r w:rsidR="002E5116">
        <w:rPr>
          <w:rFonts w:ascii="Times New Roman" w:eastAsia="Calibri" w:hAnsi="Times New Roman"/>
          <w:sz w:val="24"/>
          <w:szCs w:val="24"/>
        </w:rPr>
        <w:t xml:space="preserve"> </w:t>
      </w:r>
      <w:r w:rsidR="00711AE9">
        <w:rPr>
          <w:rFonts w:ascii="Times New Roman" w:eastAsia="Calibri" w:hAnsi="Times New Roman"/>
          <w:sz w:val="24"/>
          <w:szCs w:val="24"/>
        </w:rPr>
        <w:t>Options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Aravind Menon</w:t>
      </w:r>
      <w:r w:rsidR="00E67374" w:rsidRPr="00C54BB6">
        <w:rPr>
          <w:rFonts w:ascii="Times New Roman" w:hAnsi="Times New Roman" w:cs="Times New Roman"/>
          <w:spacing w:val="-6"/>
          <w:sz w:val="24"/>
          <w:szCs w:val="24"/>
        </w:rPr>
        <w:t xml:space="preserve"> at (</w:t>
      </w:r>
      <w:r w:rsidR="00417BD5">
        <w:rPr>
          <w:rFonts w:ascii="Times New Roman" w:hAnsi="Times New Roman" w:cs="Times New Roman"/>
          <w:spacing w:val="-6"/>
          <w:sz w:val="24"/>
          <w:szCs w:val="24"/>
        </w:rPr>
        <w:t>301</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pacing w:val="-6"/>
          <w:sz w:val="24"/>
          <w:szCs w:val="24"/>
        </w:rPr>
        <w:t>978-8416</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417BD5">
        <w:rPr>
          <w:rFonts w:ascii="Times New Roman" w:hAnsi="Times New Roman" w:cs="Times New Roman"/>
          <w:sz w:val="24"/>
          <w:szCs w:val="24"/>
        </w:rPr>
        <w:t>aravind.menon</w:t>
      </w:r>
      <w:r w:rsidR="005B3A86" w:rsidRPr="00C54BB6">
        <w:rPr>
          <w:rFonts w:ascii="Times New Roman" w:hAnsi="Times New Roman" w:cs="Times New Roman"/>
          <w:sz w:val="24"/>
          <w:szCs w:val="24"/>
        </w:rPr>
        <w: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D057E9">
        <w:rPr>
          <w:rFonts w:ascii="Times New Roman" w:hAnsi="Times New Roman" w:cs="Times New Roman"/>
          <w:sz w:val="24"/>
          <w:szCs w:val="24"/>
        </w:rPr>
        <w:t xml:space="preserve">90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6EEB9F03" wp14:editId="60401B8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Default="00EC1F98"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Default="00D057E9" w:rsidP="00EC1F98">
      <w:pPr>
        <w:pStyle w:val="NoSpacing"/>
        <w:rPr>
          <w:rFonts w:ascii="Times New Roman" w:eastAsia="Calibri" w:hAnsi="Times New Roman" w:cs="Times New Roman"/>
          <w:sz w:val="24"/>
          <w:szCs w:val="24"/>
        </w:rPr>
      </w:pPr>
    </w:p>
    <w:p w:rsidR="00D057E9" w:rsidRPr="00E67374" w:rsidRDefault="00D057E9"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lastRenderedPageBreak/>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9F24A8" w:rsidRDefault="009F24A8">
      <w:pPr>
        <w:spacing w:after="0" w:line="240" w:lineRule="auto"/>
      </w:pPr>
      <w:r>
        <w:br w:type="page"/>
      </w:r>
    </w:p>
    <w:p w:rsidR="009F24A8" w:rsidRPr="0002299A" w:rsidRDefault="009F24A8" w:rsidP="009F24A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02299A">
        <w:rPr>
          <w:rFonts w:ascii="Times New Roman" w:eastAsia="Times New Roman" w:hAnsi="Times New Roman" w:cs="Times New Roman"/>
          <w:b/>
          <w:bCs/>
          <w:color w:val="333333"/>
          <w:sz w:val="24"/>
          <w:szCs w:val="24"/>
          <w:u w:val="single"/>
        </w:rPr>
        <w:lastRenderedPageBreak/>
        <w:t>Exhibit 1 to SR-NFX-2016-</w:t>
      </w:r>
      <w:r>
        <w:rPr>
          <w:rFonts w:ascii="Times New Roman" w:eastAsia="Times New Roman" w:hAnsi="Times New Roman" w:cs="Times New Roman"/>
          <w:b/>
          <w:bCs/>
          <w:color w:val="333333"/>
          <w:sz w:val="24"/>
          <w:szCs w:val="24"/>
          <w:u w:val="single"/>
        </w:rPr>
        <w:t>90</w:t>
      </w:r>
    </w:p>
    <w:p w:rsidR="009F24A8" w:rsidRPr="0002299A" w:rsidRDefault="009F24A8" w:rsidP="009F24A8">
      <w:pPr>
        <w:spacing w:before="150" w:after="15" w:line="240" w:lineRule="auto"/>
        <w:outlineLvl w:val="3"/>
        <w:rPr>
          <w:rFonts w:ascii="Times New Roman" w:eastAsia="Times New Roman" w:hAnsi="Times New Roman" w:cs="Times New Roman"/>
          <w:bCs/>
          <w:color w:val="333333"/>
          <w:sz w:val="24"/>
          <w:szCs w:val="24"/>
        </w:rPr>
      </w:pPr>
    </w:p>
    <w:p w:rsidR="009F24A8" w:rsidRPr="003E128B" w:rsidRDefault="009F24A8" w:rsidP="009F24A8">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9F24A8" w:rsidRPr="003E128B" w:rsidRDefault="009F24A8" w:rsidP="009F24A8">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sx-policymanual-phlx-philabot_Aintro"/>
      <w:bookmarkStart w:id="4" w:name="chp_1_1_1_9_1"/>
      <w:bookmarkEnd w:id="3"/>
      <w:bookmarkEnd w:id="4"/>
      <w:r w:rsidRPr="003E128B">
        <w:rPr>
          <w:rFonts w:ascii="Times New Roman" w:eastAsia="Times New Roman" w:hAnsi="Times New Roman" w:cs="Times New Roman"/>
          <w:b/>
          <w:bCs/>
          <w:sz w:val="24"/>
          <w:szCs w:val="24"/>
        </w:rPr>
        <w:t xml:space="preserve">Introduction   </w:t>
      </w:r>
    </w:p>
    <w:p w:rsidR="009F24A8" w:rsidRPr="003E128B"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r w:rsidR="006C65B9">
        <w:rPr>
          <w:rFonts w:ascii="Times New Roman" w:eastAsia="Times New Roman" w:hAnsi="Times New Roman" w:cs="Times New Roman"/>
          <w:b/>
          <w:bCs/>
          <w:sz w:val="24"/>
          <w:szCs w:val="24"/>
        </w:rPr>
        <w:tab/>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9F24A8" w:rsidRPr="003E128B" w:rsidRDefault="009F24A8" w:rsidP="009F24A8">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9F24A8" w:rsidRDefault="009F24A8" w:rsidP="009F24A8">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018"/>
      </w:tblGrid>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p>
        </w:tc>
      </w:tr>
      <w:tr w:rsidR="009F24A8" w:rsidRPr="003E128B" w:rsidTr="00B12726">
        <w:tc>
          <w:tcPr>
            <w:tcW w:w="1390" w:type="dxa"/>
          </w:tcPr>
          <w:p w:rsidR="009F24A8" w:rsidRPr="003E128B" w:rsidRDefault="009F24A8" w:rsidP="00B12726">
            <w:pPr>
              <w:jc w:val="both"/>
              <w:rPr>
                <w:rFonts w:ascii="Times New Roman" w:hAnsi="Times New Roman" w:cs="Times New Roman"/>
                <w:b/>
                <w:sz w:val="24"/>
                <w:szCs w:val="24"/>
              </w:rPr>
            </w:pPr>
          </w:p>
        </w:tc>
        <w:tc>
          <w:tcPr>
            <w:tcW w:w="8032" w:type="dxa"/>
          </w:tcPr>
          <w:p w:rsidR="009F24A8" w:rsidRPr="003E128B" w:rsidRDefault="009F24A8" w:rsidP="00B12726">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 – No Change</w:t>
            </w:r>
          </w:p>
        </w:tc>
      </w:tr>
      <w:tr w:rsidR="009F24A8" w:rsidRPr="003E128B" w:rsidTr="00B12726">
        <w:tc>
          <w:tcPr>
            <w:tcW w:w="1390"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101C</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Brent 1st Line Financial Futures</w:t>
            </w:r>
            <w:r w:rsidR="007E1FAA">
              <w:rPr>
                <w:rFonts w:ascii="Times New Roman" w:hAnsi="Times New Roman" w:cs="Times New Roman"/>
                <w:sz w:val="24"/>
                <w:szCs w:val="24"/>
                <w:u w:val="single"/>
              </w:rPr>
              <w:t xml:space="preserve"> (IOQ)</w:t>
            </w:r>
          </w:p>
        </w:tc>
      </w:tr>
      <w:tr w:rsidR="009F24A8" w:rsidRPr="00D83E8D" w:rsidTr="00B12726">
        <w:tc>
          <w:tcPr>
            <w:tcW w:w="1390" w:type="dxa"/>
          </w:tcPr>
          <w:p w:rsidR="009F24A8" w:rsidRPr="009631C9" w:rsidRDefault="009F24A8" w:rsidP="00B12726">
            <w:pPr>
              <w:jc w:val="both"/>
              <w:rPr>
                <w:rFonts w:ascii="Times New Roman" w:hAnsi="Times New Roman" w:cs="Times New Roman"/>
                <w:b/>
                <w:sz w:val="24"/>
                <w:szCs w:val="24"/>
                <w:u w:val="single"/>
              </w:rPr>
            </w:pPr>
            <w:r w:rsidRPr="009631C9">
              <w:rPr>
                <w:rFonts w:ascii="Times New Roman" w:hAnsi="Times New Roman" w:cs="Times New Roman"/>
                <w:sz w:val="24"/>
                <w:szCs w:val="24"/>
                <w:u w:val="single"/>
              </w:rPr>
              <w:t>103D</w:t>
            </w:r>
          </w:p>
        </w:tc>
        <w:tc>
          <w:tcPr>
            <w:tcW w:w="8032" w:type="dxa"/>
          </w:tcPr>
          <w:p w:rsidR="009F24A8" w:rsidRPr="009631C9" w:rsidRDefault="009F24A8" w:rsidP="00B12726">
            <w:pPr>
              <w:jc w:val="both"/>
              <w:rPr>
                <w:rFonts w:ascii="Times New Roman" w:hAnsi="Times New Roman" w:cs="Times New Roman"/>
                <w:sz w:val="24"/>
                <w:szCs w:val="24"/>
                <w:u w:val="single"/>
              </w:rPr>
            </w:pPr>
            <w:r w:rsidRPr="009631C9">
              <w:rPr>
                <w:rFonts w:ascii="Times New Roman" w:hAnsi="Times New Roman" w:cs="Times New Roman"/>
                <w:sz w:val="24"/>
                <w:szCs w:val="24"/>
                <w:u w:val="single"/>
              </w:rPr>
              <w:t>NFX Options on NFX WTI 1st Line Financial Futures</w:t>
            </w:r>
            <w:r w:rsidR="007E1FAA">
              <w:rPr>
                <w:rFonts w:ascii="Times New Roman" w:hAnsi="Times New Roman" w:cs="Times New Roman"/>
                <w:sz w:val="24"/>
                <w:szCs w:val="24"/>
                <w:u w:val="single"/>
              </w:rPr>
              <w:t xml:space="preserve"> (TIQ)</w:t>
            </w:r>
          </w:p>
        </w:tc>
      </w:tr>
    </w:tbl>
    <w:p w:rsidR="009F24A8" w:rsidRPr="0002299A" w:rsidRDefault="009F24A8" w:rsidP="009F24A8">
      <w:pPr>
        <w:spacing w:before="100" w:beforeAutospacing="1" w:after="100" w:afterAutospacing="1" w:line="240" w:lineRule="auto"/>
        <w:outlineLvl w:val="3"/>
        <w:rPr>
          <w:rFonts w:ascii="Times New Roman" w:eastAsia="Times New Roman" w:hAnsi="Times New Roman" w:cs="Times New Roman"/>
          <w:bCs/>
          <w:sz w:val="24"/>
          <w:szCs w:val="24"/>
        </w:rPr>
      </w:pPr>
      <w:r w:rsidRPr="0002299A">
        <w:rPr>
          <w:rFonts w:ascii="Times New Roman" w:eastAsia="Times New Roman" w:hAnsi="Times New Roman" w:cs="Times New Roman"/>
          <w:bCs/>
          <w:sz w:val="24"/>
          <w:szCs w:val="24"/>
        </w:rPr>
        <w:t xml:space="preserve">* * * * * </w:t>
      </w:r>
    </w:p>
    <w:p w:rsidR="009F24A8" w:rsidRPr="007E1FAA" w:rsidRDefault="009F24A8" w:rsidP="009F24A8">
      <w:pPr>
        <w:pStyle w:val="Heading4"/>
        <w:spacing w:before="150" w:after="15"/>
        <w:rPr>
          <w:rFonts w:ascii="Times New Roman" w:hAnsi="Times New Roman"/>
          <w:color w:val="333333"/>
          <w:sz w:val="24"/>
          <w:szCs w:val="24"/>
          <w:u w:val="single"/>
        </w:rPr>
      </w:pPr>
      <w:r w:rsidRPr="007E1FAA">
        <w:rPr>
          <w:rFonts w:ascii="Times New Roman" w:hAnsi="Times New Roman"/>
          <w:sz w:val="24"/>
          <w:szCs w:val="24"/>
          <w:u w:val="single"/>
        </w:rPr>
        <w:t>Chapter 101C NFX Options on NFX Brent 1st Line Financial Futures (IOQ)</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101C.01 Unit of Trading</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101C.02 Nature of NFX Options on NFX Brent 1st Line Financial Futures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A put or call option traded on the Exchange represents an option to assume a short or long position in one NFX Brent 1st Line Financial Futures (IBQ) contract of a specified contract month.</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lastRenderedPageBreak/>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101C.03 Contract Months and Expiration Date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101C.04 Exercise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Brent 1st Line Financial Futures (IBQ)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101C.05 Exercise Style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101C.06 Last Trading Day</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B81809">
        <w:rPr>
          <w:rFonts w:ascii="Times New Roman" w:eastAsia="Times New Roman" w:hAnsi="Times New Roman" w:cs="Times New Roman"/>
          <w:color w:val="000000"/>
          <w:sz w:val="24"/>
          <w:szCs w:val="24"/>
        </w:rPr>
        <w:t xml:space="preserve">Trading for a particular contract month terminates on the last business day of trading for the underlying NFX Brent 1st Line Financial Futures (IBQ) contract. </w:t>
      </w:r>
      <w:r w:rsidRPr="00E2300E">
        <w:rPr>
          <w:rFonts w:ascii="Times New Roman" w:eastAsia="Times New Roman" w:hAnsi="Times New Roman" w:cs="Times New Roman"/>
          <w:color w:val="000000"/>
          <w:sz w:val="24"/>
          <w:szCs w:val="24"/>
          <w:u w:val="single"/>
        </w:rPr>
        <w:t>Trading ceases at 2:30 PM EPT on the last trading day.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101C.07 Prices and Minimum Increments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101C.08 Daily Settlement Prices</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 xml:space="preserve">Pursuant to Chapter V, Section III, the daily settlement price shall be equal to the daily settlement price for the corresponding NYMEX Brent Financial Average Price Options (BA). If the daily settlement price described in the previous sentence is unavailable the Exchange may in </w:t>
      </w:r>
      <w:r w:rsidRPr="00E2300E">
        <w:rPr>
          <w:rFonts w:ascii="Times New Roman" w:eastAsia="Times New Roman" w:hAnsi="Times New Roman" w:cs="Times New Roman"/>
          <w:color w:val="000000"/>
          <w:sz w:val="24"/>
          <w:szCs w:val="24"/>
        </w:rPr>
        <w:lastRenderedPageBreak/>
        <w:t>its sole discretion establish a daily settlement price that it deems to be a fair and reasonable reflection of the market.</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101C.09 Trading Algorithm and Reporting Window</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101C.10 Block Trade Minimum Quantity Threshold</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r w:rsidRPr="00E2300E">
        <w:rPr>
          <w:rFonts w:ascii="Times New Roman" w:eastAsia="Times New Roman" w:hAnsi="Times New Roman" w:cs="Times New Roman"/>
          <w:b/>
          <w:bCs/>
          <w:color w:val="333333"/>
          <w:sz w:val="24"/>
          <w:szCs w:val="24"/>
          <w:u w:val="single"/>
        </w:rPr>
        <w:t>101C.11 Order Price Limit Protection</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E2300E">
        <w:rPr>
          <w:rFonts w:ascii="Times New Roman" w:eastAsia="Times New Roman" w:hAnsi="Times New Roman" w:cs="Times New Roman"/>
          <w:color w:val="000000"/>
          <w:sz w:val="24"/>
          <w:szCs w:val="24"/>
          <w:u w:val="single"/>
        </w:rPr>
        <w:t>Order Price Limit Protection under Chapter IV, Section 8, shall not apply.</w:t>
      </w:r>
    </w:p>
    <w:p w:rsidR="009F24A8" w:rsidRPr="00E2300E" w:rsidRDefault="009F24A8" w:rsidP="009F24A8">
      <w:pPr>
        <w:spacing w:before="150" w:after="15" w:line="240" w:lineRule="auto"/>
        <w:outlineLvl w:val="4"/>
        <w:rPr>
          <w:rFonts w:ascii="Times New Roman" w:eastAsia="Times New Roman" w:hAnsi="Times New Roman" w:cs="Times New Roman"/>
          <w:b/>
          <w:bCs/>
          <w:color w:val="333333"/>
          <w:sz w:val="24"/>
          <w:szCs w:val="24"/>
        </w:rPr>
      </w:pPr>
      <w:r w:rsidRPr="00E2300E">
        <w:rPr>
          <w:rFonts w:ascii="Times New Roman" w:eastAsia="Times New Roman" w:hAnsi="Times New Roman" w:cs="Times New Roman"/>
          <w:b/>
          <w:bCs/>
          <w:color w:val="333333"/>
          <w:sz w:val="24"/>
          <w:szCs w:val="24"/>
        </w:rPr>
        <w:t>101C.12 Non-Reviewable Range</w:t>
      </w:r>
    </w:p>
    <w:p w:rsidR="009F24A8"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E2300E">
        <w:rPr>
          <w:rFonts w:ascii="Times New Roman" w:eastAsia="Times New Roman" w:hAnsi="Times New Roman" w:cs="Times New Roman"/>
          <w:color w:val="000000"/>
          <w:sz w:val="24"/>
          <w:szCs w:val="24"/>
        </w:rPr>
        <w:t>For purposes of Chapter V, Section 5, there shall be no non-reviewable range.</w:t>
      </w:r>
    </w:p>
    <w:p w:rsidR="009F24A8" w:rsidRPr="00E2300E" w:rsidRDefault="009F24A8" w:rsidP="009F24A8">
      <w:pPr>
        <w:spacing w:before="15" w:after="100" w:afterAutospacing="1" w:line="240" w:lineRule="atLeast"/>
        <w:rPr>
          <w:rFonts w:ascii="Times New Roman" w:eastAsia="Times New Roman" w:hAnsi="Times New Roman" w:cs="Times New Roman"/>
          <w:color w:val="000000"/>
          <w:sz w:val="24"/>
          <w:szCs w:val="24"/>
        </w:rPr>
      </w:pPr>
    </w:p>
    <w:p w:rsidR="009F24A8" w:rsidRDefault="009F24A8" w:rsidP="009F24A8">
      <w:pPr>
        <w:rPr>
          <w:rFonts w:ascii="Times New Roman" w:hAnsi="Times New Roman" w:cs="Times New Roman"/>
          <w:sz w:val="24"/>
          <w:szCs w:val="24"/>
        </w:rPr>
      </w:pPr>
      <w:bookmarkStart w:id="5" w:name="chp_1_1_1_9_6"/>
      <w:bookmarkStart w:id="6" w:name="sx-policymanual-phlx-philabotChapter103N"/>
      <w:bookmarkEnd w:id="5"/>
      <w:bookmarkEnd w:id="6"/>
      <w:r w:rsidRPr="0048772B">
        <w:rPr>
          <w:rFonts w:ascii="Times New Roman" w:hAnsi="Times New Roman" w:cs="Times New Roman"/>
          <w:sz w:val="24"/>
          <w:szCs w:val="24"/>
        </w:rPr>
        <w:t>* * * * *</w:t>
      </w:r>
    </w:p>
    <w:p w:rsidR="009F24A8" w:rsidRDefault="009F24A8" w:rsidP="009F24A8">
      <w:pPr>
        <w:rPr>
          <w:rFonts w:ascii="Times New Roman" w:hAnsi="Times New Roman" w:cs="Times New Roman"/>
          <w:sz w:val="24"/>
          <w:szCs w:val="24"/>
        </w:rPr>
      </w:pPr>
    </w:p>
    <w:p w:rsidR="009F24A8" w:rsidRPr="007E1FAA" w:rsidRDefault="009F24A8" w:rsidP="009F24A8">
      <w:pPr>
        <w:pStyle w:val="Heading4"/>
        <w:spacing w:before="150" w:after="15"/>
        <w:rPr>
          <w:rFonts w:ascii="Times New Roman" w:hAnsi="Times New Roman"/>
          <w:sz w:val="24"/>
          <w:szCs w:val="24"/>
          <w:u w:val="single"/>
        </w:rPr>
      </w:pPr>
      <w:r w:rsidRPr="007E1FAA">
        <w:rPr>
          <w:rFonts w:ascii="Times New Roman" w:hAnsi="Times New Roman"/>
          <w:sz w:val="24"/>
          <w:szCs w:val="24"/>
          <w:u w:val="single"/>
        </w:rPr>
        <w:t>Chapter 103D NFX Options on NFX WTI 1st Line Financial Futures (TIQ)</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7" w:name="chp_1_1_1_9_11_1"/>
      <w:bookmarkStart w:id="8" w:name="sx-policymanual-phlx-philabot_104A.01"/>
      <w:bookmarkEnd w:id="7"/>
      <w:bookmarkEnd w:id="8"/>
      <w:r w:rsidRPr="00DF2661">
        <w:rPr>
          <w:rFonts w:ascii="Times New Roman" w:eastAsia="Times New Roman" w:hAnsi="Times New Roman" w:cs="Times New Roman"/>
          <w:b/>
          <w:bCs/>
          <w:color w:val="333333"/>
          <w:sz w:val="24"/>
          <w:szCs w:val="24"/>
          <w:u w:val="single"/>
        </w:rPr>
        <w:t>103D.01 Unit of Trading</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unit of trading for one contract is one futures contract which equals 1000 barrels.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9" w:name="chp_1_1_1_9_11_2"/>
      <w:bookmarkStart w:id="10" w:name="sx-policymanual-phlx-philabot_104A.02"/>
      <w:bookmarkEnd w:id="9"/>
      <w:bookmarkEnd w:id="10"/>
      <w:r w:rsidRPr="00DF2661">
        <w:rPr>
          <w:rFonts w:ascii="Times New Roman" w:eastAsia="Times New Roman" w:hAnsi="Times New Roman" w:cs="Times New Roman"/>
          <w:b/>
          <w:bCs/>
          <w:color w:val="333333"/>
          <w:sz w:val="24"/>
          <w:szCs w:val="24"/>
          <w:u w:val="single"/>
        </w:rPr>
        <w:t>103D.02 Nature of NFX Options on NFX WTI 1st Line Financial Futures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A put or call option traded on the Exchange represents an option to assume a short or long position in one NFX WTI 1st Line Financial Futures (RTIQ) contract of a specified contract month.</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upon exercise the holder has the right, in the case of a call, to have such call replaced by a long position in the underlying futures contract equal to the unit of trading for such option contract and in the case of a put, to have such put replaced by a short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Subject to Clearing Corporation rules, a writer has the obligation, upon assignment by the Clearing Corporation of an exercise in respect of such contract, in the case of a call, to have such call replaced by a short position in the underlying futures contract equal to the unit of trading for such option contract and in the case of a put, to have such put replaced by a long position in the underlying futures contract equal to the unit of trading for such option contract.</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Underlying futures contracts that are opened in settlement of exercises and assignments of futures option contracts shall be deemed to have been opened on the day of exercise and shall be deemed to be opened at the exercise price for such futures option, which shall be deemed the contract price for such futures contract.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1" w:name="chp_1_1_1_9_11_3"/>
      <w:bookmarkStart w:id="12" w:name="sx-policymanual-phlx-philabot_104A.03"/>
      <w:bookmarkEnd w:id="11"/>
      <w:bookmarkEnd w:id="12"/>
      <w:r w:rsidRPr="00DF2661">
        <w:rPr>
          <w:rFonts w:ascii="Times New Roman" w:eastAsia="Times New Roman" w:hAnsi="Times New Roman" w:cs="Times New Roman"/>
          <w:b/>
          <w:bCs/>
          <w:color w:val="333333"/>
          <w:sz w:val="24"/>
          <w:szCs w:val="24"/>
          <w:u w:val="single"/>
        </w:rPr>
        <w:lastRenderedPageBreak/>
        <w:t>103D.03 Contract Months and Expiration Date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Exchange may list for trading monthly contracts for the current year and the next seven consecutive calendar years. A contract shall expire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3" w:name="chp_1_1_1_9_11_4"/>
      <w:bookmarkStart w:id="14" w:name="sx-policymanual-phlx-philabot_104A.04"/>
      <w:bookmarkEnd w:id="13"/>
      <w:bookmarkEnd w:id="14"/>
      <w:r w:rsidRPr="00DF2661">
        <w:rPr>
          <w:rFonts w:ascii="Times New Roman" w:eastAsia="Times New Roman" w:hAnsi="Times New Roman" w:cs="Times New Roman"/>
          <w:b/>
          <w:bCs/>
          <w:color w:val="333333"/>
          <w:sz w:val="24"/>
          <w:szCs w:val="24"/>
          <w:u w:val="single"/>
        </w:rPr>
        <w:t>103D.04 Exercise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On the first business day of trading in an option contract month, the Exchange will list a minimum of five exercise prices in increments of $0.50 per barrel above and below the at-the-money exercise price per contract month. The at-the-money exercise price shall be the previous day's settlement price for the NFX WTI 1st Line Financial Futures (RTIQ) contract in the corresponding contract month rounded to the nearest $0.50 increment strike price. Thereafter, on any business day prior to the expiration of the option: (i) new consecutive fifty-cent increment strike prices for both puts and calls will be added such that at all times there will be at least five fifty-cent increment strike prices above and below the at-the-money strike price available for trading in all options contract months.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5" w:name="chp_1_1_1_9_11_5"/>
      <w:bookmarkStart w:id="16" w:name="sx-policymanual-phlx-philabot_104A.05"/>
      <w:bookmarkEnd w:id="15"/>
      <w:bookmarkEnd w:id="16"/>
      <w:r w:rsidRPr="00DF2661">
        <w:rPr>
          <w:rFonts w:ascii="Times New Roman" w:eastAsia="Times New Roman" w:hAnsi="Times New Roman" w:cs="Times New Roman"/>
          <w:b/>
          <w:bCs/>
          <w:color w:val="333333"/>
          <w:sz w:val="24"/>
          <w:szCs w:val="24"/>
          <w:u w:val="single"/>
        </w:rPr>
        <w:t>103D.05 Exercise Style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The option contracts are European-style exercise. At such time as the Clearing Corporation establishes for automatic exercise on the last trading day, the Clearing Corporation will automatically exercise all options that are in-the-money on behalf of the holder unless instructed otherwise by the holder. Unexercised options which are out-of-the-money expire automatically.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7" w:name="chp_1_1_1_9_11_6"/>
      <w:bookmarkStart w:id="18" w:name="sx-policymanual-phlx-philabot_104A.06"/>
      <w:bookmarkEnd w:id="17"/>
      <w:bookmarkEnd w:id="18"/>
      <w:r w:rsidRPr="00DF2661">
        <w:rPr>
          <w:rFonts w:ascii="Times New Roman" w:eastAsia="Times New Roman" w:hAnsi="Times New Roman" w:cs="Times New Roman"/>
          <w:b/>
          <w:bCs/>
          <w:color w:val="333333"/>
          <w:sz w:val="24"/>
          <w:szCs w:val="24"/>
          <w:u w:val="single"/>
        </w:rPr>
        <w:t>103D.06 Last Trading Day</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Trading for a particular contract month terminates on the last business day of trading for the underlying NFX WTI 1st Line Financial Futures (RTIQ) contract. Trading ceases at 2:30 PM EPT on the last trading day.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19" w:name="chp_1_1_1_9_11_7"/>
      <w:bookmarkStart w:id="20" w:name="sx-policymanual-phlx-philabot_104A.07"/>
      <w:bookmarkEnd w:id="19"/>
      <w:bookmarkEnd w:id="20"/>
      <w:r w:rsidRPr="00DF2661">
        <w:rPr>
          <w:rFonts w:ascii="Times New Roman" w:eastAsia="Times New Roman" w:hAnsi="Times New Roman" w:cs="Times New Roman"/>
          <w:b/>
          <w:bCs/>
          <w:color w:val="333333"/>
          <w:sz w:val="24"/>
          <w:szCs w:val="24"/>
          <w:u w:val="single"/>
        </w:rPr>
        <w:t>103D.07 Prices and Minimum Increments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Prices are quoted in U.S. dollars and cents per barrel. The minimum trading increment is $0.01 per barrel which is equal to $10.00 per contract; provided, however, that a trade may occur at a price of $0.001 per barrel, or $1.00 per contract (a "cabinet trade").</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1" w:name="chp_1_1_1_9_11_8"/>
      <w:bookmarkStart w:id="22" w:name="sx-policymanual-phlx-philabot_104A.08"/>
      <w:bookmarkEnd w:id="21"/>
      <w:bookmarkEnd w:id="22"/>
      <w:r w:rsidRPr="00DF2661">
        <w:rPr>
          <w:rFonts w:ascii="Times New Roman" w:eastAsia="Times New Roman" w:hAnsi="Times New Roman" w:cs="Times New Roman"/>
          <w:b/>
          <w:bCs/>
          <w:color w:val="333333"/>
          <w:sz w:val="24"/>
          <w:szCs w:val="24"/>
        </w:rPr>
        <w:t>103D.08 Daily Settlement Prices</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V, Section III, the daily settlement price shall be equal to the daily settlement price for the corresponding NYMEX WTI Average Price Options (AO). If the daily settlement price described in the previous sentence is unavailable the Exchange may in its sole discretion establish a daily settlement price that it deems to be a fair and reasonable reflection of the market.</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3" w:name="chp_1_1_1_9_11_9"/>
      <w:bookmarkStart w:id="24" w:name="sx-policymanual-phlx-philabot_104A.09"/>
      <w:bookmarkEnd w:id="23"/>
      <w:bookmarkEnd w:id="24"/>
      <w:r w:rsidRPr="00DF2661">
        <w:rPr>
          <w:rFonts w:ascii="Times New Roman" w:eastAsia="Times New Roman" w:hAnsi="Times New Roman" w:cs="Times New Roman"/>
          <w:b/>
          <w:bCs/>
          <w:color w:val="333333"/>
          <w:sz w:val="24"/>
          <w:szCs w:val="24"/>
          <w:u w:val="single"/>
        </w:rPr>
        <w:t>103D.09 Trading Algorithm and Reporting Window</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 time priority order execution algorithm.</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5" w:name="chp_1_1_1_9_11_10"/>
      <w:bookmarkStart w:id="26" w:name="sx-policymanual-phlx-philabot_104A.10"/>
      <w:bookmarkEnd w:id="25"/>
      <w:bookmarkEnd w:id="26"/>
      <w:r w:rsidRPr="00DF2661">
        <w:rPr>
          <w:rFonts w:ascii="Times New Roman" w:eastAsia="Times New Roman" w:hAnsi="Times New Roman" w:cs="Times New Roman"/>
          <w:b/>
          <w:bCs/>
          <w:color w:val="333333"/>
          <w:sz w:val="24"/>
          <w:szCs w:val="24"/>
        </w:rPr>
        <w:t>103D.10 Block Trade Minimum Quantity Threshold</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Pursuant to Chapter IV, Section 10, block trades shall be permitted with a minimum quantity threshold of 5 contracts and the Reporting Window shall be fifteen minutes.</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u w:val="single"/>
        </w:rPr>
      </w:pPr>
      <w:bookmarkStart w:id="27" w:name="chp_1_1_1_9_11_11"/>
      <w:bookmarkStart w:id="28" w:name="sx-policymanual-phlx-philabot_104A.11"/>
      <w:bookmarkEnd w:id="27"/>
      <w:bookmarkEnd w:id="28"/>
      <w:r w:rsidRPr="00DF2661">
        <w:rPr>
          <w:rFonts w:ascii="Times New Roman" w:eastAsia="Times New Roman" w:hAnsi="Times New Roman" w:cs="Times New Roman"/>
          <w:b/>
          <w:bCs/>
          <w:color w:val="333333"/>
          <w:sz w:val="24"/>
          <w:szCs w:val="24"/>
          <w:u w:val="single"/>
        </w:rPr>
        <w:t>103D.11 Order Price Limit Protection</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u w:val="single"/>
        </w:rPr>
      </w:pPr>
      <w:r w:rsidRPr="00DF2661">
        <w:rPr>
          <w:rFonts w:ascii="Times New Roman" w:eastAsia="Times New Roman" w:hAnsi="Times New Roman" w:cs="Times New Roman"/>
          <w:color w:val="000000"/>
          <w:sz w:val="24"/>
          <w:szCs w:val="24"/>
          <w:u w:val="single"/>
        </w:rPr>
        <w:lastRenderedPageBreak/>
        <w:t>Order Price Limit Protection under Chapter IV, Section 8, shall not apply.</w:t>
      </w:r>
    </w:p>
    <w:p w:rsidR="009F24A8" w:rsidRPr="00DF2661" w:rsidRDefault="009F24A8" w:rsidP="009F24A8">
      <w:pPr>
        <w:spacing w:before="150" w:after="15" w:line="240" w:lineRule="auto"/>
        <w:outlineLvl w:val="4"/>
        <w:rPr>
          <w:rFonts w:ascii="Times New Roman" w:eastAsia="Times New Roman" w:hAnsi="Times New Roman" w:cs="Times New Roman"/>
          <w:b/>
          <w:bCs/>
          <w:color w:val="333333"/>
          <w:sz w:val="24"/>
          <w:szCs w:val="24"/>
        </w:rPr>
      </w:pPr>
      <w:bookmarkStart w:id="29" w:name="chp_1_1_1_9_11_12"/>
      <w:bookmarkStart w:id="30" w:name="sx-policymanual-phlx-philabot_104A.12"/>
      <w:bookmarkEnd w:id="29"/>
      <w:bookmarkEnd w:id="30"/>
      <w:r w:rsidRPr="00DF2661">
        <w:rPr>
          <w:rFonts w:ascii="Times New Roman" w:eastAsia="Times New Roman" w:hAnsi="Times New Roman" w:cs="Times New Roman"/>
          <w:b/>
          <w:bCs/>
          <w:color w:val="333333"/>
          <w:sz w:val="24"/>
          <w:szCs w:val="24"/>
        </w:rPr>
        <w:t>103D.12 Non-Reviewable Range</w:t>
      </w:r>
    </w:p>
    <w:p w:rsidR="009F24A8" w:rsidRPr="00DF2661" w:rsidRDefault="009F24A8" w:rsidP="009F24A8">
      <w:pPr>
        <w:spacing w:before="15" w:after="100" w:afterAutospacing="1" w:line="240" w:lineRule="atLeast"/>
        <w:rPr>
          <w:rFonts w:ascii="Times New Roman" w:eastAsia="Times New Roman" w:hAnsi="Times New Roman" w:cs="Times New Roman"/>
          <w:color w:val="000000"/>
          <w:sz w:val="24"/>
          <w:szCs w:val="24"/>
        </w:rPr>
      </w:pPr>
      <w:r w:rsidRPr="00DF2661">
        <w:rPr>
          <w:rFonts w:ascii="Times New Roman" w:eastAsia="Times New Roman" w:hAnsi="Times New Roman" w:cs="Times New Roman"/>
          <w:color w:val="000000"/>
          <w:sz w:val="24"/>
          <w:szCs w:val="24"/>
        </w:rPr>
        <w:t>For purposes of Chapter V, Section 5, there shall be no non-reviewable range.</w:t>
      </w:r>
    </w:p>
    <w:p w:rsidR="009F24A8" w:rsidRPr="00551FAB" w:rsidRDefault="009F24A8" w:rsidP="009F24A8">
      <w:pPr>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2" w:rsidRDefault="005A6CA2">
      <w:r>
        <w:separator/>
      </w:r>
    </w:p>
  </w:endnote>
  <w:endnote w:type="continuationSeparator" w:id="0">
    <w:p w:rsidR="005A6CA2" w:rsidRDefault="005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28290D10-4953-4455-877F-D8064A4B317C}"/>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5DA47828-EB1C-4618-A787-9CDF1F9196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2" w:rsidRDefault="005A6CA2">
      <w:r>
        <w:separator/>
      </w:r>
    </w:p>
  </w:footnote>
  <w:footnote w:type="continuationSeparator" w:id="0">
    <w:p w:rsidR="005A6CA2" w:rsidRDefault="005A6CA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7739C3">
        <w:rPr>
          <w:rFonts w:ascii="Times New Roman" w:hAnsi="Times New Roman" w:cs="Times New Roman"/>
          <w:sz w:val="24"/>
          <w:szCs w:val="24"/>
        </w:rPr>
        <w:t>1st</w:t>
      </w:r>
      <w:r w:rsidR="000475DC">
        <w:rPr>
          <w:rFonts w:ascii="Times New Roman" w:hAnsi="Times New Roman" w:cs="Times New Roman"/>
          <w:sz w:val="24"/>
          <w:szCs w:val="24"/>
        </w:rPr>
        <w:t xml:space="preserve"> Line </w:t>
      </w:r>
      <w:r w:rsidRPr="00CF5D12">
        <w:rPr>
          <w:rFonts w:ascii="Times New Roman" w:hAnsi="Times New Roman" w:cs="Times New Roman"/>
          <w:sz w:val="24"/>
          <w:szCs w:val="24"/>
        </w:rPr>
        <w:t xml:space="preserve">Options to the “Table of Listed Contracts” set forth in the Introduction Section of Rulebook Appendix A.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1E6DA0" w:rsidRPr="001E6DA0">
        <w:rPr>
          <w:rFonts w:ascii="Times New Roman" w:hAnsi="Times New Roman"/>
          <w:sz w:val="24"/>
          <w:szCs w:val="24"/>
        </w:rPr>
        <w:t>91</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1E6DA0">
        <w:rPr>
          <w:rFonts w:ascii="Times New Roman" w:hAnsi="Times New Roman"/>
          <w:sz w:val="24"/>
          <w:szCs w:val="24"/>
        </w:rPr>
        <w:t xml:space="preserve">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7B1577">
        <w:rPr>
          <w:rFonts w:ascii="Times New Roman" w:hAnsi="Times New Roman"/>
          <w:sz w:val="24"/>
          <w:szCs w:val="24"/>
        </w:rPr>
        <w:t>Options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 governing the </w:t>
      </w:r>
      <w:r w:rsidR="007739C3">
        <w:rPr>
          <w:rFonts w:ascii="Times New Roman" w:eastAsia="Calibri" w:hAnsi="Times New Roman" w:cs="Times New Roman"/>
          <w:sz w:val="24"/>
          <w:szCs w:val="24"/>
        </w:rPr>
        <w:t>1st</w:t>
      </w:r>
      <w:r w:rsidR="001E6DA0">
        <w:rPr>
          <w:rFonts w:ascii="Times New Roman" w:eastAsia="Calibri" w:hAnsi="Times New Roman" w:cs="Times New Roman"/>
          <w:sz w:val="24"/>
          <w:szCs w:val="24"/>
        </w:rPr>
        <w:t xml:space="preserve"> Line </w:t>
      </w:r>
      <w:r w:rsidR="00B25CED">
        <w:rPr>
          <w:rFonts w:ascii="Times New Roman" w:hAnsi="Times New Roman" w:cs="Times New Roman"/>
          <w:sz w:val="24"/>
          <w:szCs w:val="24"/>
        </w:rPr>
        <w:t>Options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1E6DA0" w:rsidRPr="001E6DA0">
        <w:rPr>
          <w:rFonts w:ascii="Times New Roman" w:hAnsi="Times New Roman" w:cs="Times New Roman"/>
          <w:sz w:val="24"/>
          <w:szCs w:val="24"/>
        </w:rPr>
        <w:t>91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3">
    <w:p w:rsidR="00471CB4" w:rsidRPr="00471CB4" w:rsidRDefault="00471CB4">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IBQ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sidR="00C3401E">
        <w:rPr>
          <w:rFonts w:ascii="Times New Roman" w:hAnsi="Times New Roman" w:cs="Times New Roman"/>
          <w:sz w:val="24"/>
          <w:szCs w:val="24"/>
        </w:rPr>
        <w:t xml:space="preserve">forth in Chapter </w:t>
      </w:r>
      <w:r w:rsidR="007460B7">
        <w:rPr>
          <w:rFonts w:ascii="Times New Roman" w:hAnsi="Times New Roman" w:cs="Times New Roman"/>
          <w:sz w:val="24"/>
          <w:szCs w:val="24"/>
        </w:rPr>
        <w:t>101A</w:t>
      </w:r>
      <w:r w:rsidR="007460B7"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 w:id="4">
    <w:p w:rsidR="00317F77" w:rsidRPr="00471CB4" w:rsidRDefault="00317F77" w:rsidP="00317F77">
      <w:pPr>
        <w:pStyle w:val="FootnoteText"/>
        <w:rPr>
          <w:rFonts w:ascii="Times New Roman" w:hAnsi="Times New Roman" w:cs="Times New Roman"/>
          <w:sz w:val="24"/>
          <w:szCs w:val="24"/>
        </w:rPr>
      </w:pPr>
      <w:r w:rsidRPr="00471CB4">
        <w:rPr>
          <w:rStyle w:val="FootnoteReference"/>
          <w:rFonts w:ascii="Times New Roman" w:hAnsi="Times New Roman" w:cs="Times New Roman"/>
          <w:sz w:val="24"/>
          <w:szCs w:val="24"/>
        </w:rPr>
        <w:footnoteRef/>
      </w:r>
      <w:r w:rsidRPr="00471CB4">
        <w:rPr>
          <w:rFonts w:ascii="Times New Roman" w:hAnsi="Times New Roman" w:cs="Times New Roman"/>
          <w:sz w:val="24"/>
          <w:szCs w:val="24"/>
        </w:rPr>
        <w:t xml:space="preserve"> </w:t>
      </w:r>
      <w:r w:rsidRPr="00471CB4">
        <w:rPr>
          <w:rFonts w:ascii="Times New Roman" w:hAnsi="Times New Roman" w:cs="Times New Roman"/>
          <w:sz w:val="24"/>
          <w:szCs w:val="24"/>
        </w:rPr>
        <w:tab/>
        <w:t xml:space="preserve">Rules, terms and conditions of the </w:t>
      </w:r>
      <w:r>
        <w:rPr>
          <w:rFonts w:ascii="Times New Roman" w:hAnsi="Times New Roman" w:cs="Times New Roman"/>
          <w:sz w:val="24"/>
          <w:szCs w:val="24"/>
        </w:rPr>
        <w:t xml:space="preserve">existing </w:t>
      </w:r>
      <w:r w:rsidR="00AE0F07">
        <w:rPr>
          <w:rFonts w:ascii="Times New Roman" w:hAnsi="Times New Roman" w:cs="Times New Roman"/>
          <w:sz w:val="24"/>
          <w:szCs w:val="24"/>
        </w:rPr>
        <w:t>RTIQ</w:t>
      </w:r>
      <w:r w:rsidR="00AE0F07" w:rsidRPr="00471CB4">
        <w:rPr>
          <w:rFonts w:ascii="Times New Roman" w:hAnsi="Times New Roman" w:cs="Times New Roman"/>
          <w:sz w:val="24"/>
          <w:szCs w:val="24"/>
        </w:rPr>
        <w:t xml:space="preserve"> </w:t>
      </w:r>
      <w:r w:rsidRPr="00471CB4">
        <w:rPr>
          <w:rFonts w:ascii="Times New Roman" w:hAnsi="Times New Roman" w:cs="Times New Roman"/>
          <w:sz w:val="24"/>
          <w:szCs w:val="24"/>
        </w:rPr>
        <w:t xml:space="preserve">futures contract are set </w:t>
      </w:r>
      <w:r>
        <w:rPr>
          <w:rFonts w:ascii="Times New Roman" w:hAnsi="Times New Roman" w:cs="Times New Roman"/>
          <w:sz w:val="24"/>
          <w:szCs w:val="24"/>
        </w:rPr>
        <w:t xml:space="preserve">forth in Chapter </w:t>
      </w:r>
      <w:r w:rsidR="00FA06B1">
        <w:rPr>
          <w:rFonts w:ascii="Times New Roman" w:hAnsi="Times New Roman" w:cs="Times New Roman"/>
          <w:sz w:val="24"/>
          <w:szCs w:val="24"/>
        </w:rPr>
        <w:t>103B</w:t>
      </w:r>
      <w:r w:rsidR="00FA06B1" w:rsidRPr="00471CB4">
        <w:rPr>
          <w:rFonts w:ascii="Times New Roman" w:hAnsi="Times New Roman" w:cs="Times New Roman"/>
          <w:sz w:val="24"/>
          <w:szCs w:val="24"/>
        </w:rPr>
        <w:t xml:space="preserve"> </w:t>
      </w:r>
      <w:r w:rsidRPr="00471CB4">
        <w:rPr>
          <w:rFonts w:ascii="Times New Roman" w:hAnsi="Times New Roman" w:cs="Times New Roman"/>
          <w:sz w:val="24"/>
          <w:szCs w:val="24"/>
        </w:rPr>
        <w:t>of Rulebook Appendix A</w:t>
      </w:r>
      <w:r>
        <w:rPr>
          <w:rFonts w:ascii="Times New Roman" w:hAnsi="Times New Roman" w:cs="Times New Roman"/>
          <w:sz w:val="24"/>
          <w:szCs w:val="24"/>
        </w:rPr>
        <w:t>, Listed Contracts</w:t>
      </w:r>
      <w:r w:rsidRPr="00471CB4">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07E82"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October 6</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D057E9" w:rsidRPr="00D057E9">
      <w:rPr>
        <w:rFonts w:ascii="Times New Roman" w:hAnsi="Times New Roman" w:cs="Times New Roman"/>
        <w:sz w:val="20"/>
        <w:szCs w:val="20"/>
      </w:rPr>
      <w:t>90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44041">
      <w:rPr>
        <w:rFonts w:ascii="Times New Roman" w:hAnsi="Times New Roman" w:cs="Times New Roman"/>
        <w:noProof/>
        <w:sz w:val="20"/>
        <w:szCs w:val="20"/>
      </w:rPr>
      <w:t>12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6330E724" wp14:editId="662047E3">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362A"/>
    <w:rsid w:val="000049A2"/>
    <w:rsid w:val="00023F35"/>
    <w:rsid w:val="000277E6"/>
    <w:rsid w:val="000313E1"/>
    <w:rsid w:val="00035AE7"/>
    <w:rsid w:val="00043BF8"/>
    <w:rsid w:val="000467B2"/>
    <w:rsid w:val="000475DC"/>
    <w:rsid w:val="00051023"/>
    <w:rsid w:val="00054E16"/>
    <w:rsid w:val="000747B4"/>
    <w:rsid w:val="000764FA"/>
    <w:rsid w:val="00095F3F"/>
    <w:rsid w:val="000A0FF7"/>
    <w:rsid w:val="000A3874"/>
    <w:rsid w:val="000B0F2E"/>
    <w:rsid w:val="000C50D8"/>
    <w:rsid w:val="000D02B9"/>
    <w:rsid w:val="000D4A76"/>
    <w:rsid w:val="000F3BC3"/>
    <w:rsid w:val="001265C8"/>
    <w:rsid w:val="0013018F"/>
    <w:rsid w:val="00135BE1"/>
    <w:rsid w:val="0014156C"/>
    <w:rsid w:val="00153179"/>
    <w:rsid w:val="001746B9"/>
    <w:rsid w:val="0018088D"/>
    <w:rsid w:val="00197F73"/>
    <w:rsid w:val="001B6ADA"/>
    <w:rsid w:val="001C4306"/>
    <w:rsid w:val="001E53F3"/>
    <w:rsid w:val="001E6DA0"/>
    <w:rsid w:val="00206BEB"/>
    <w:rsid w:val="0021568A"/>
    <w:rsid w:val="002230A7"/>
    <w:rsid w:val="002325A5"/>
    <w:rsid w:val="00242C21"/>
    <w:rsid w:val="00261A57"/>
    <w:rsid w:val="002711EE"/>
    <w:rsid w:val="00273392"/>
    <w:rsid w:val="00286437"/>
    <w:rsid w:val="002A147E"/>
    <w:rsid w:val="002A70DC"/>
    <w:rsid w:val="002B0DB3"/>
    <w:rsid w:val="002C3E26"/>
    <w:rsid w:val="002D1A0E"/>
    <w:rsid w:val="002E5116"/>
    <w:rsid w:val="00300E44"/>
    <w:rsid w:val="003017B3"/>
    <w:rsid w:val="00304BBA"/>
    <w:rsid w:val="00304F17"/>
    <w:rsid w:val="00310833"/>
    <w:rsid w:val="00317F77"/>
    <w:rsid w:val="003207C9"/>
    <w:rsid w:val="00323F6A"/>
    <w:rsid w:val="00337B63"/>
    <w:rsid w:val="00352533"/>
    <w:rsid w:val="003579D4"/>
    <w:rsid w:val="00363601"/>
    <w:rsid w:val="003658B4"/>
    <w:rsid w:val="00371610"/>
    <w:rsid w:val="00372973"/>
    <w:rsid w:val="003742C7"/>
    <w:rsid w:val="00394142"/>
    <w:rsid w:val="003A1E6B"/>
    <w:rsid w:val="003D071F"/>
    <w:rsid w:val="003D7D45"/>
    <w:rsid w:val="003E3285"/>
    <w:rsid w:val="003F1332"/>
    <w:rsid w:val="003F5035"/>
    <w:rsid w:val="00400D58"/>
    <w:rsid w:val="004166F5"/>
    <w:rsid w:val="00417BD5"/>
    <w:rsid w:val="00420946"/>
    <w:rsid w:val="00425E24"/>
    <w:rsid w:val="004416D1"/>
    <w:rsid w:val="00444041"/>
    <w:rsid w:val="00444B42"/>
    <w:rsid w:val="004468C6"/>
    <w:rsid w:val="00451810"/>
    <w:rsid w:val="004520D0"/>
    <w:rsid w:val="004623F3"/>
    <w:rsid w:val="00471651"/>
    <w:rsid w:val="00471CB4"/>
    <w:rsid w:val="004763FD"/>
    <w:rsid w:val="004B4800"/>
    <w:rsid w:val="004C1038"/>
    <w:rsid w:val="004C1EE1"/>
    <w:rsid w:val="004C595C"/>
    <w:rsid w:val="004D08BE"/>
    <w:rsid w:val="004D4A93"/>
    <w:rsid w:val="004D5651"/>
    <w:rsid w:val="004E0359"/>
    <w:rsid w:val="004F4A5F"/>
    <w:rsid w:val="004F6A14"/>
    <w:rsid w:val="00506C90"/>
    <w:rsid w:val="00517DCB"/>
    <w:rsid w:val="00517EAC"/>
    <w:rsid w:val="00532BCA"/>
    <w:rsid w:val="00543F89"/>
    <w:rsid w:val="005444C0"/>
    <w:rsid w:val="00550D5C"/>
    <w:rsid w:val="0055465F"/>
    <w:rsid w:val="0055547F"/>
    <w:rsid w:val="0056301F"/>
    <w:rsid w:val="00575375"/>
    <w:rsid w:val="00584FC5"/>
    <w:rsid w:val="0059608D"/>
    <w:rsid w:val="005A6CA2"/>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457B4"/>
    <w:rsid w:val="006505E1"/>
    <w:rsid w:val="006532B0"/>
    <w:rsid w:val="00662BF1"/>
    <w:rsid w:val="00672BD3"/>
    <w:rsid w:val="00674E96"/>
    <w:rsid w:val="00682E52"/>
    <w:rsid w:val="00687FED"/>
    <w:rsid w:val="006A23F0"/>
    <w:rsid w:val="006B55A4"/>
    <w:rsid w:val="006C2BD3"/>
    <w:rsid w:val="006C65B9"/>
    <w:rsid w:val="006C7C6D"/>
    <w:rsid w:val="006D0516"/>
    <w:rsid w:val="006D7316"/>
    <w:rsid w:val="006E620B"/>
    <w:rsid w:val="006F469F"/>
    <w:rsid w:val="006F78A0"/>
    <w:rsid w:val="00704A07"/>
    <w:rsid w:val="00711AE9"/>
    <w:rsid w:val="00723F8E"/>
    <w:rsid w:val="007245AD"/>
    <w:rsid w:val="007460B7"/>
    <w:rsid w:val="00746658"/>
    <w:rsid w:val="00746EFF"/>
    <w:rsid w:val="007525F5"/>
    <w:rsid w:val="00752A6A"/>
    <w:rsid w:val="00756FBD"/>
    <w:rsid w:val="007667BD"/>
    <w:rsid w:val="00770B76"/>
    <w:rsid w:val="007739C3"/>
    <w:rsid w:val="0079548F"/>
    <w:rsid w:val="007B1577"/>
    <w:rsid w:val="007B39B4"/>
    <w:rsid w:val="007D2EEF"/>
    <w:rsid w:val="007D48A6"/>
    <w:rsid w:val="007D6B15"/>
    <w:rsid w:val="007E1FAA"/>
    <w:rsid w:val="007F6B89"/>
    <w:rsid w:val="00803051"/>
    <w:rsid w:val="00816BE8"/>
    <w:rsid w:val="008225AC"/>
    <w:rsid w:val="00823846"/>
    <w:rsid w:val="0083294B"/>
    <w:rsid w:val="00840E13"/>
    <w:rsid w:val="00845388"/>
    <w:rsid w:val="008504E3"/>
    <w:rsid w:val="008601E9"/>
    <w:rsid w:val="00862FB8"/>
    <w:rsid w:val="0087786E"/>
    <w:rsid w:val="008A5035"/>
    <w:rsid w:val="008A6F33"/>
    <w:rsid w:val="008B0F18"/>
    <w:rsid w:val="008B4F72"/>
    <w:rsid w:val="008D0EA0"/>
    <w:rsid w:val="008D2006"/>
    <w:rsid w:val="008D575B"/>
    <w:rsid w:val="008D6EB0"/>
    <w:rsid w:val="008E113C"/>
    <w:rsid w:val="008E185B"/>
    <w:rsid w:val="008E2972"/>
    <w:rsid w:val="008E3489"/>
    <w:rsid w:val="008E5622"/>
    <w:rsid w:val="008F2A00"/>
    <w:rsid w:val="008F34CB"/>
    <w:rsid w:val="008F39CF"/>
    <w:rsid w:val="00901585"/>
    <w:rsid w:val="009325A9"/>
    <w:rsid w:val="00940AE9"/>
    <w:rsid w:val="00962C60"/>
    <w:rsid w:val="0096567F"/>
    <w:rsid w:val="009A2490"/>
    <w:rsid w:val="009B56C3"/>
    <w:rsid w:val="009D691D"/>
    <w:rsid w:val="009F24A8"/>
    <w:rsid w:val="009F31BE"/>
    <w:rsid w:val="009F7A70"/>
    <w:rsid w:val="00A01B4B"/>
    <w:rsid w:val="00A03815"/>
    <w:rsid w:val="00A06C10"/>
    <w:rsid w:val="00A07E82"/>
    <w:rsid w:val="00A137D7"/>
    <w:rsid w:val="00A35B1F"/>
    <w:rsid w:val="00A42DF2"/>
    <w:rsid w:val="00A43066"/>
    <w:rsid w:val="00A460AC"/>
    <w:rsid w:val="00A568CC"/>
    <w:rsid w:val="00A62A66"/>
    <w:rsid w:val="00A748C7"/>
    <w:rsid w:val="00A85786"/>
    <w:rsid w:val="00A87D38"/>
    <w:rsid w:val="00AB4A64"/>
    <w:rsid w:val="00AB5353"/>
    <w:rsid w:val="00AB6119"/>
    <w:rsid w:val="00AB649F"/>
    <w:rsid w:val="00AC119B"/>
    <w:rsid w:val="00AD07B6"/>
    <w:rsid w:val="00AD646A"/>
    <w:rsid w:val="00AE0F07"/>
    <w:rsid w:val="00AE6E5B"/>
    <w:rsid w:val="00AF0A1F"/>
    <w:rsid w:val="00AF47D9"/>
    <w:rsid w:val="00AF4E6B"/>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7098"/>
    <w:rsid w:val="00B679D2"/>
    <w:rsid w:val="00B749AF"/>
    <w:rsid w:val="00B817A8"/>
    <w:rsid w:val="00B81809"/>
    <w:rsid w:val="00B8408C"/>
    <w:rsid w:val="00B90BF8"/>
    <w:rsid w:val="00BB1623"/>
    <w:rsid w:val="00BB7937"/>
    <w:rsid w:val="00BC7B09"/>
    <w:rsid w:val="00BD5978"/>
    <w:rsid w:val="00BD66AD"/>
    <w:rsid w:val="00BE4604"/>
    <w:rsid w:val="00BF0157"/>
    <w:rsid w:val="00BF2D2F"/>
    <w:rsid w:val="00C03127"/>
    <w:rsid w:val="00C0680F"/>
    <w:rsid w:val="00C13DEB"/>
    <w:rsid w:val="00C2091F"/>
    <w:rsid w:val="00C22DCB"/>
    <w:rsid w:val="00C32D24"/>
    <w:rsid w:val="00C3401E"/>
    <w:rsid w:val="00C43D2B"/>
    <w:rsid w:val="00C54BB6"/>
    <w:rsid w:val="00C628A0"/>
    <w:rsid w:val="00C62CEC"/>
    <w:rsid w:val="00C654A6"/>
    <w:rsid w:val="00CA65E5"/>
    <w:rsid w:val="00CA7B58"/>
    <w:rsid w:val="00CB6A80"/>
    <w:rsid w:val="00CD6D2F"/>
    <w:rsid w:val="00CE4500"/>
    <w:rsid w:val="00CF1DF1"/>
    <w:rsid w:val="00CF5D12"/>
    <w:rsid w:val="00CF7C6B"/>
    <w:rsid w:val="00D05049"/>
    <w:rsid w:val="00D057E9"/>
    <w:rsid w:val="00D138C3"/>
    <w:rsid w:val="00D31404"/>
    <w:rsid w:val="00D44C87"/>
    <w:rsid w:val="00D527EA"/>
    <w:rsid w:val="00D63C25"/>
    <w:rsid w:val="00D70163"/>
    <w:rsid w:val="00D80E7E"/>
    <w:rsid w:val="00D857B9"/>
    <w:rsid w:val="00D86D6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67374"/>
    <w:rsid w:val="00E74ECF"/>
    <w:rsid w:val="00E81CD4"/>
    <w:rsid w:val="00E82449"/>
    <w:rsid w:val="00E86489"/>
    <w:rsid w:val="00E873D1"/>
    <w:rsid w:val="00E87C9F"/>
    <w:rsid w:val="00E944B2"/>
    <w:rsid w:val="00EA57C7"/>
    <w:rsid w:val="00EC12B3"/>
    <w:rsid w:val="00EC1F98"/>
    <w:rsid w:val="00EE6C82"/>
    <w:rsid w:val="00F06CCD"/>
    <w:rsid w:val="00F12343"/>
    <w:rsid w:val="00F16B3B"/>
    <w:rsid w:val="00F16EA3"/>
    <w:rsid w:val="00F17C44"/>
    <w:rsid w:val="00F255EE"/>
    <w:rsid w:val="00F25FF4"/>
    <w:rsid w:val="00F37BC0"/>
    <w:rsid w:val="00F535EB"/>
    <w:rsid w:val="00F609A9"/>
    <w:rsid w:val="00F77334"/>
    <w:rsid w:val="00F84782"/>
    <w:rsid w:val="00F97130"/>
    <w:rsid w:val="00F978A6"/>
    <w:rsid w:val="00FA06B1"/>
    <w:rsid w:val="00FA396E"/>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93977411-018E-4E94-9E5A-7386F4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887a04c7-ba68-4d48-b681-15b080d81f53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2016-10-06T20:50:46+00:00</Document_x0020_Date>
    <Document_x0020_No xmlns="4b47aac5-4c46-444f-8595-ce09b406fc61">26762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02181-A6C3-4608-B2AE-8CFDB5E2A210}"/>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D7FC086-C72C-4337-A871-2D69B9C12910}"/>
</file>

<file path=customXml/itemProps5.xml><?xml version="1.0" encoding="utf-8"?>
<ds:datastoreItem xmlns:ds="http://schemas.openxmlformats.org/officeDocument/2006/customXml" ds:itemID="{CAEA9705-813B-4D5D-AD55-A880B4E82FD7}"/>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12</Pages>
  <Words>3958</Words>
  <Characters>22563</Characters>
  <Application>Microsoft Office Word</Application>
  <DocSecurity>6</DocSecurity>
  <Lines>188</Lines>
  <Paragraphs>52</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2016-10-04T13:49:00Z</cp:lastPrinted>
  <dcterms:created xsi:type="dcterms:W3CDTF">2016-10-06T16:24:00Z</dcterms:created>
  <dcterms:modified xsi:type="dcterms:W3CDTF">2016-10-06T16:24:00Z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3010100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