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e1ede848-a519-4f08-932f-546d4114d3b9</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2016-10-06T21:15:21+00:00</Document_x0020_Date>
    <Document_x0020_No xmlns="4b47aac5-4c46-444f-8595-ce09b406fc61">26785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D2CC386-0DDA-4E88-B44E-1A5C95355B1D}"/>
</file>

<file path=customXml/itemProps5.xml><?xml version="1.0" encoding="utf-8"?>
<ds:datastoreItem xmlns:ds="http://schemas.openxmlformats.org/officeDocument/2006/customXml" ds:itemID="{BB072BED-44A3-4769-8D51-B2F639941A4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\\Cftc.gov\dfsbts\PRD\BizTalk Locations\Portal\Temp\98f6f0b7-a0ef-4dd2-b615-52147af534d8\SR-NFX-2016-90 Rule Certification.docx</vt:lpwstr>
  </property>
</Properties>
</file>