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C9" w:rsidRPr="00783359" w:rsidRDefault="007011C9" w:rsidP="007011C9">
      <w:pPr>
        <w:spacing w:before="150" w:after="15" w:line="240" w:lineRule="auto"/>
        <w:jc w:val="center"/>
        <w:outlineLvl w:val="3"/>
        <w:rPr>
          <w:rFonts w:ascii="Times New Roman" w:eastAsia="Times New Roman" w:hAnsi="Times New Roman" w:cs="Times New Roman"/>
          <w:b/>
          <w:bCs/>
          <w:color w:val="333333"/>
          <w:sz w:val="24"/>
          <w:szCs w:val="24"/>
          <w:u w:val="single"/>
        </w:rPr>
      </w:pPr>
      <w:bookmarkStart w:id="0" w:name="_GoBack"/>
      <w:bookmarkEnd w:id="0"/>
      <w:r w:rsidRPr="00783359">
        <w:rPr>
          <w:rFonts w:ascii="Times New Roman" w:eastAsia="Times New Roman" w:hAnsi="Times New Roman" w:cs="Times New Roman"/>
          <w:b/>
          <w:bCs/>
          <w:color w:val="333333"/>
          <w:sz w:val="24"/>
          <w:szCs w:val="24"/>
          <w:u w:val="single"/>
        </w:rPr>
        <w:t>Exhibit A to SR-NFX-2018-</w:t>
      </w:r>
      <w:r>
        <w:rPr>
          <w:rFonts w:ascii="Times New Roman" w:eastAsia="Times New Roman" w:hAnsi="Times New Roman" w:cs="Times New Roman"/>
          <w:b/>
          <w:bCs/>
          <w:color w:val="333333"/>
          <w:sz w:val="24"/>
          <w:szCs w:val="24"/>
          <w:u w:val="single"/>
        </w:rPr>
        <w:t>44</w:t>
      </w:r>
    </w:p>
    <w:p w:rsidR="007011C9" w:rsidRPr="00783359" w:rsidRDefault="007011C9" w:rsidP="007011C9">
      <w:pPr>
        <w:spacing w:before="150" w:after="15" w:line="240" w:lineRule="auto"/>
        <w:outlineLvl w:val="3"/>
        <w:rPr>
          <w:rFonts w:ascii="Times New Roman" w:eastAsia="Times New Roman" w:hAnsi="Times New Roman" w:cs="Times New Roman"/>
          <w:bCs/>
          <w:color w:val="333333"/>
          <w:sz w:val="24"/>
          <w:szCs w:val="24"/>
        </w:rPr>
      </w:pPr>
    </w:p>
    <w:p w:rsidR="007011C9" w:rsidRPr="00783359" w:rsidRDefault="007011C9" w:rsidP="007011C9">
      <w:pPr>
        <w:spacing w:line="240" w:lineRule="auto"/>
        <w:rPr>
          <w:rFonts w:ascii="Times New Roman" w:hAnsi="Times New Roman" w:cs="Times New Roman"/>
          <w:sz w:val="24"/>
          <w:szCs w:val="24"/>
        </w:rPr>
      </w:pPr>
      <w:r w:rsidRPr="00783359">
        <w:rPr>
          <w:rFonts w:ascii="Times New Roman" w:hAnsi="Times New Roman" w:cs="Times New Roman"/>
          <w:sz w:val="24"/>
          <w:szCs w:val="24"/>
        </w:rPr>
        <w:t xml:space="preserve">New language is </w:t>
      </w:r>
      <w:r w:rsidRPr="00783359">
        <w:rPr>
          <w:rFonts w:ascii="Times New Roman" w:hAnsi="Times New Roman" w:cs="Times New Roman"/>
          <w:sz w:val="24"/>
          <w:szCs w:val="24"/>
          <w:u w:val="single"/>
        </w:rPr>
        <w:t>underlined</w:t>
      </w:r>
      <w:r w:rsidRPr="00783359">
        <w:rPr>
          <w:rFonts w:ascii="Times New Roman" w:hAnsi="Times New Roman" w:cs="Times New Roman"/>
          <w:sz w:val="24"/>
          <w:szCs w:val="24"/>
        </w:rPr>
        <w:t>.</w:t>
      </w:r>
    </w:p>
    <w:p w:rsidR="007011C9" w:rsidRPr="00783359" w:rsidRDefault="007011C9" w:rsidP="007011C9">
      <w:pPr>
        <w:spacing w:before="100" w:beforeAutospacing="1" w:after="100" w:afterAutospacing="1" w:line="240" w:lineRule="auto"/>
        <w:outlineLvl w:val="2"/>
        <w:rPr>
          <w:rFonts w:ascii="Times New Roman" w:eastAsia="Times New Roman" w:hAnsi="Times New Roman" w:cs="Times New Roman"/>
          <w:b/>
          <w:bCs/>
          <w:sz w:val="24"/>
          <w:szCs w:val="24"/>
        </w:rPr>
      </w:pPr>
      <w:r w:rsidRPr="00783359">
        <w:rPr>
          <w:rFonts w:ascii="Times New Roman" w:eastAsia="Times New Roman" w:hAnsi="Times New Roman" w:cs="Times New Roman"/>
          <w:b/>
          <w:bCs/>
          <w:sz w:val="24"/>
          <w:szCs w:val="24"/>
        </w:rPr>
        <w:t>Rulebook Appendix A - Listed Contracts</w:t>
      </w:r>
    </w:p>
    <w:p w:rsidR="007011C9" w:rsidRPr="00783359" w:rsidRDefault="007011C9" w:rsidP="007011C9">
      <w:pPr>
        <w:spacing w:before="100" w:beforeAutospacing="1" w:after="100" w:afterAutospacing="1" w:line="240" w:lineRule="auto"/>
        <w:jc w:val="center"/>
        <w:outlineLvl w:val="3"/>
        <w:rPr>
          <w:rFonts w:ascii="Times New Roman" w:eastAsia="Times New Roman" w:hAnsi="Times New Roman" w:cs="Times New Roman"/>
          <w:bCs/>
          <w:sz w:val="24"/>
          <w:szCs w:val="24"/>
        </w:rPr>
      </w:pPr>
      <w:bookmarkStart w:id="1" w:name="sx-policymanual-phlx-philabot_Aintro"/>
      <w:bookmarkStart w:id="2" w:name="chp_1_1_1_9_1"/>
      <w:bookmarkEnd w:id="1"/>
      <w:bookmarkEnd w:id="2"/>
      <w:r w:rsidRPr="00783359">
        <w:rPr>
          <w:rFonts w:ascii="Times New Roman" w:eastAsia="Times New Roman" w:hAnsi="Times New Roman" w:cs="Times New Roman"/>
          <w:bCs/>
          <w:sz w:val="24"/>
          <w:szCs w:val="24"/>
        </w:rPr>
        <w:t>* * * * *</w:t>
      </w:r>
    </w:p>
    <w:tbl>
      <w:tblPr>
        <w:tblStyle w:val="TableGrid"/>
        <w:tblW w:w="0" w:type="auto"/>
        <w:tblInd w:w="-72" w:type="dxa"/>
        <w:tblLook w:val="04A0" w:firstRow="1" w:lastRow="0" w:firstColumn="1" w:lastColumn="0" w:noHBand="0" w:noVBand="1"/>
      </w:tblPr>
      <w:tblGrid>
        <w:gridCol w:w="1390"/>
        <w:gridCol w:w="8032"/>
      </w:tblGrid>
      <w:tr w:rsidR="007011C9" w:rsidRPr="00783359" w:rsidTr="007011C9">
        <w:trPr>
          <w:tblHeader/>
        </w:trPr>
        <w:tc>
          <w:tcPr>
            <w:tcW w:w="1390" w:type="dxa"/>
          </w:tcPr>
          <w:p w:rsidR="007011C9" w:rsidRPr="00783359" w:rsidRDefault="007011C9" w:rsidP="0090792B">
            <w:pPr>
              <w:spacing w:line="240" w:lineRule="auto"/>
              <w:jc w:val="both"/>
              <w:rPr>
                <w:b/>
                <w:sz w:val="24"/>
                <w:szCs w:val="24"/>
              </w:rPr>
            </w:pPr>
            <w:r w:rsidRPr="00783359">
              <w:rPr>
                <w:b/>
                <w:sz w:val="24"/>
                <w:szCs w:val="24"/>
              </w:rPr>
              <w:t>CHAPTER</w:t>
            </w:r>
          </w:p>
        </w:tc>
        <w:tc>
          <w:tcPr>
            <w:tcW w:w="8032" w:type="dxa"/>
          </w:tcPr>
          <w:p w:rsidR="007011C9" w:rsidRPr="00783359" w:rsidRDefault="007011C9" w:rsidP="0090792B">
            <w:pPr>
              <w:spacing w:line="240" w:lineRule="auto"/>
              <w:jc w:val="both"/>
              <w:rPr>
                <w:b/>
                <w:sz w:val="24"/>
                <w:szCs w:val="24"/>
              </w:rPr>
            </w:pPr>
            <w:r w:rsidRPr="00783359">
              <w:rPr>
                <w:b/>
                <w:sz w:val="24"/>
                <w:szCs w:val="24"/>
              </w:rPr>
              <w:t>PRODUCT NAME AND SYMBOL</w:t>
            </w: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OIL AND REFINED PRODUCTS – No Change</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 xml:space="preserve">NATURAL GAS PRODUCTS – No Change </w:t>
            </w:r>
          </w:p>
        </w:tc>
      </w:tr>
      <w:tr w:rsidR="007011C9" w:rsidRPr="00783359" w:rsidTr="0090792B">
        <w:tc>
          <w:tcPr>
            <w:tcW w:w="1390" w:type="dxa"/>
          </w:tcPr>
          <w:p w:rsidR="007011C9" w:rsidRPr="00783359" w:rsidRDefault="007011C9" w:rsidP="0090792B">
            <w:pPr>
              <w:spacing w:line="240" w:lineRule="auto"/>
              <w:jc w:val="both"/>
              <w:rPr>
                <w:sz w:val="24"/>
                <w:szCs w:val="24"/>
              </w:rPr>
            </w:pPr>
          </w:p>
        </w:tc>
        <w:tc>
          <w:tcPr>
            <w:tcW w:w="8032" w:type="dxa"/>
          </w:tcPr>
          <w:p w:rsidR="007011C9" w:rsidRPr="00783359" w:rsidRDefault="007011C9" w:rsidP="0090792B">
            <w:pPr>
              <w:spacing w:line="240" w:lineRule="auto"/>
              <w:jc w:val="both"/>
              <w:rPr>
                <w:sz w:val="24"/>
                <w:szCs w:val="24"/>
              </w:rPr>
            </w:pPr>
          </w:p>
        </w:tc>
      </w:tr>
      <w:tr w:rsidR="007011C9" w:rsidRPr="00783359" w:rsidTr="0090792B">
        <w:tc>
          <w:tcPr>
            <w:tcW w:w="1390" w:type="dxa"/>
          </w:tcPr>
          <w:p w:rsidR="007011C9" w:rsidRPr="00783359" w:rsidRDefault="007011C9" w:rsidP="0090792B">
            <w:pPr>
              <w:spacing w:line="240" w:lineRule="auto"/>
              <w:jc w:val="both"/>
              <w:rPr>
                <w:b/>
                <w:sz w:val="24"/>
                <w:szCs w:val="24"/>
              </w:rPr>
            </w:pPr>
          </w:p>
        </w:tc>
        <w:tc>
          <w:tcPr>
            <w:tcW w:w="8032" w:type="dxa"/>
          </w:tcPr>
          <w:p w:rsidR="007011C9" w:rsidRPr="00783359" w:rsidRDefault="007011C9" w:rsidP="0090792B">
            <w:pPr>
              <w:spacing w:line="240" w:lineRule="auto"/>
              <w:jc w:val="both"/>
              <w:rPr>
                <w:b/>
                <w:sz w:val="24"/>
                <w:szCs w:val="24"/>
              </w:rPr>
            </w:pPr>
            <w:r w:rsidRPr="00783359">
              <w:rPr>
                <w:b/>
                <w:sz w:val="24"/>
                <w:szCs w:val="24"/>
              </w:rPr>
              <w:t>POWER CONTRACTS</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Financial Futures (DEPQ)</w:t>
            </w:r>
          </w:p>
        </w:tc>
      </w:tr>
      <w:tr w:rsidR="007011C9" w:rsidRPr="00783359" w:rsidTr="0090792B">
        <w:tc>
          <w:tcPr>
            <w:tcW w:w="1390" w:type="dxa"/>
          </w:tcPr>
          <w:p w:rsidR="007011C9" w:rsidRPr="00783359" w:rsidRDefault="007011C9" w:rsidP="0090792B">
            <w:pPr>
              <w:spacing w:line="240" w:lineRule="auto"/>
              <w:jc w:val="both"/>
              <w:rPr>
                <w:sz w:val="24"/>
                <w:szCs w:val="24"/>
                <w:u w:val="single"/>
              </w:rPr>
            </w:pPr>
            <w:r w:rsidRPr="00AD63E2">
              <w:rPr>
                <w:color w:val="000000"/>
                <w:sz w:val="24"/>
                <w:szCs w:val="24"/>
                <w:u w:val="single"/>
              </w:rPr>
              <w:t>369A</w:t>
            </w:r>
          </w:p>
        </w:tc>
        <w:tc>
          <w:tcPr>
            <w:tcW w:w="8032" w:type="dxa"/>
          </w:tcPr>
          <w:p w:rsidR="007011C9" w:rsidRPr="00783359" w:rsidRDefault="007011C9" w:rsidP="0090792B">
            <w:pPr>
              <w:pStyle w:val="NoSpacing"/>
              <w:rPr>
                <w:rFonts w:eastAsia="Calibri"/>
                <w:sz w:val="24"/>
                <w:szCs w:val="24"/>
                <w:u w:val="single"/>
              </w:rPr>
            </w:pPr>
            <w:r w:rsidRPr="00AD63E2">
              <w:rPr>
                <w:bCs/>
                <w:color w:val="000000"/>
                <w:sz w:val="24"/>
                <w:szCs w:val="24"/>
                <w:u w:val="single"/>
              </w:rPr>
              <w:t>NFX PJM DEOK Zone Day-Ahead Peak Mini Financial Futures - 5MW (DEVQ)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369B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DEOK Zone Day-Ahead Peak Mini Financial Futures - 1MW (DENQ)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Financial Futures (DOFQ)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DEOK Zone Day-Ahead Off-Peak Mini Financial Futures - 25MWh (DOTQ)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- 5MWh (DOIQ)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DEOK Zone Day-Ahead Off-Peak Mini Financial Futures - 1MWh (DOOQ)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Financial Futures (DOPQ)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DOM Zone Day-Ahead Peak Mini Financial Futures - 5MW (DOVQ)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DOM Zone Day-Ahead Peak Mini Financial Futures - 1MW (DONQ)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Financial Futures (DOMQ)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DOM Zone Day-Ahead Off-Peak Mini Financial Futures - 25MWh (DOWQ)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- 5MWh (DOEQ)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DOM Zone Day-Ahead Off-Peak Mini Financial Futures - 1MWh (DOUQ)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(PZBQ)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373A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PENELEC Zone Day-Ahead Peak Financial Futures - 5MW (PZFQ)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PENELEC Zone Day-Ahead Peak Financial Futures - 1MW (PZNQ)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Financial Futures (PZDQ)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PENELEC Zone Day-Ahead Off-Peak Mini Financial Futures - 25MWh (PZTQ)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- 5MWh (PZUQ)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PENELEC Zone Day-Ahead Off-Peak Mini Financial Futures - 1MWh (PZZQ)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Financial Futures (PXBQ)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PJM DPL Zone Day-Ahead Peak Mini Financial Futures - 5MW (PXFQ)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PJM DPL Zone Day-Ahead Peak Mini Financial Futures - 1MW (PXOQ)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Financial Futures (PXDQ)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PJM DPL Zone Day-Ahead Off-Peak Mini Financial Futures - 25MWh (PXTQ)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- 5MWh (PXIQ)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PJM DPL Zone Day-Ahead Off-Peak Mini Financial Futures - 1MWh (PXNQ)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Financial Futures (AASQ)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North East Massachusetts Zone Day-Ahead Peak Mini Financial Futures - 5MW (AAFQ)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North East Massachusetts Zone Day-Ahead Peak Mini Financial Futures - 1MW (AAOQ)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Financial Futures (AATQ)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North East Massachusetts Zone Day-Ahead Off-Peak Mini Financial Futures - 25MW</w:t>
            </w:r>
            <w:r w:rsidR="0090792B">
              <w:rPr>
                <w:color w:val="000000"/>
                <w:sz w:val="24"/>
                <w:szCs w:val="24"/>
                <w:u w:val="single"/>
              </w:rPr>
              <w:t>h</w:t>
            </w:r>
            <w:r w:rsidRPr="00AD63E2">
              <w:rPr>
                <w:color w:val="000000"/>
                <w:sz w:val="24"/>
                <w:szCs w:val="24"/>
                <w:u w:val="single"/>
              </w:rPr>
              <w:t xml:space="preserve"> (AAWQ)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- 5MW</w:t>
            </w:r>
            <w:r w:rsidR="0090792B">
              <w:rPr>
                <w:color w:val="000000"/>
                <w:sz w:val="24"/>
                <w:szCs w:val="24"/>
                <w:u w:val="single"/>
              </w:rPr>
              <w:t>h</w:t>
            </w:r>
            <w:r w:rsidRPr="00AD63E2">
              <w:rPr>
                <w:color w:val="000000"/>
                <w:sz w:val="24"/>
                <w:szCs w:val="24"/>
                <w:u w:val="single"/>
              </w:rPr>
              <w:t xml:space="preserve"> (AAIQ)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North East Massachusetts Zone Day-Ahead Off-Peak Mini Financial Futures - 1MW</w:t>
            </w:r>
            <w:r w:rsidR="0090792B">
              <w:rPr>
                <w:color w:val="000000"/>
                <w:sz w:val="24"/>
                <w:szCs w:val="24"/>
                <w:u w:val="single"/>
              </w:rPr>
              <w:t>h</w:t>
            </w:r>
            <w:r w:rsidRPr="00AD63E2">
              <w:rPr>
                <w:color w:val="000000"/>
                <w:sz w:val="24"/>
                <w:szCs w:val="24"/>
                <w:u w:val="single"/>
              </w:rPr>
              <w:t xml:space="preserve"> (AANQ)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Financial Futures (IEBQ)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Maine Zone Day-Ahead Peak Mini Financial Futures - 5MW (IEFQ)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379B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Maine Zone Day-Ahead Peak Mini Financial Futures - 1MW (IEOQ)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Financial Futures (IEDQ)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Maine Zone Day-Ahead Off-Peak Mini Financial Futures - 25MW</w:t>
            </w:r>
            <w:r w:rsidR="0090792B">
              <w:rPr>
                <w:color w:val="000000"/>
                <w:sz w:val="24"/>
                <w:szCs w:val="24"/>
                <w:u w:val="single"/>
              </w:rPr>
              <w:t>h</w:t>
            </w:r>
            <w:r w:rsidRPr="00AD63E2">
              <w:rPr>
                <w:color w:val="000000"/>
                <w:sz w:val="24"/>
                <w:szCs w:val="24"/>
                <w:u w:val="single"/>
              </w:rPr>
              <w:t xml:space="preserve"> (IETQ)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- 5MW</w:t>
            </w:r>
            <w:r w:rsidR="0090792B">
              <w:rPr>
                <w:color w:val="000000"/>
                <w:sz w:val="24"/>
                <w:szCs w:val="24"/>
                <w:u w:val="single"/>
              </w:rPr>
              <w:t>h</w:t>
            </w:r>
            <w:r w:rsidRPr="00AD63E2">
              <w:rPr>
                <w:color w:val="000000"/>
                <w:sz w:val="24"/>
                <w:szCs w:val="24"/>
                <w:u w:val="single"/>
              </w:rPr>
              <w:t xml:space="preserve"> (IEIQ)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Maine Zone Day-Ahead Off-Peak Mini Financial Futures - 1MW</w:t>
            </w:r>
            <w:r w:rsidR="0090792B">
              <w:rPr>
                <w:color w:val="000000"/>
                <w:sz w:val="24"/>
                <w:szCs w:val="24"/>
                <w:u w:val="single"/>
              </w:rPr>
              <w:t>h</w:t>
            </w:r>
            <w:r w:rsidRPr="00AD63E2">
              <w:rPr>
                <w:color w:val="000000"/>
                <w:sz w:val="24"/>
                <w:szCs w:val="24"/>
                <w:u w:val="single"/>
              </w:rPr>
              <w:t xml:space="preserve"> (IENQ)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Financial Futures (RIYQ)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Rhode Island Zone Day-Ahead Peak Mini Financial Futures - 5MW (RIFQ)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381B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Rhode Island Zone Day-Ahead Peak Mini Financial Futures - 1MW (RIOQ)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Financial Futures (RIZQ)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Rhode Island Zone Day-Ahead Off-Peak Mini Financial Futures - 25MWh (RITQ)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- 5MWh (RIIQ)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382C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Rhode Island Zone Day-Ahead Off-Peak Mini Financial Futures - 1MWh (RINQ)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Financial Futures (IHBQ)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ISO-NE New Hampshire Zone Day-Ahead Peak Mini Financial Futures - 5MW (IHFQ)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383B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ISO-NE New Hampshire Zone Day-Ahead Peak Mini Financial Futures - 1MW (IHOQ)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Financial Futures (IHDQ)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ISO-NE New Hampshire Zone Day-Ahead Off-Peak Mini Financial Futures - 25MWh (IHTQ)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- 5MWh (IHIQ)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384C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ISO-NE New Hampshire Zone Day-Ahead Off-Peak Mini Financial Futures - 1MWh (IHNQ)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Financial Futures (MGPQ)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Michigan Hub Day-Ahead Peak Mini Financial Futures - 5MW (MGFQ)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385B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Michigan Hub Day-Ahead Peak Mini Financial Futures - 1MW (MGOQ)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Financial Futures (MGQQ)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Michigan Hub Day-Ahead Off-Peak Mini Financial Futures - 25MWh (MGTQ)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- 5MWh (MGIQ)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386C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Michigan Hub Day-Ahead Off-Peak Mini Financial Futures - 1MWh (MGNQ)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Financial Futures (BGFQ)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387A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AMIL.BGS6 Day-Ahead Peak Mini Financial Futures - 5MW (BGIQ)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lastRenderedPageBreak/>
              <w:t>387B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AMIL.BGS6 Day-Ahead Peak Mini Financial Futures - 1MW (BGNQ)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Financial Futures (BBFQ)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AMIL.BGS6 Day-Ahead Off-Peak Mini Financial Futures - 25MWh (BBTQ)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- 5MWh (BBIQ)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388C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AMIL.BGS6 Day-Ahead Off-Peak Mini Financial Futures - 1MWh (BBOQ)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Financial Futures (ALPQ)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389A</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bCs/>
                <w:color w:val="000000"/>
                <w:sz w:val="24"/>
                <w:szCs w:val="24"/>
                <w:u w:val="single"/>
              </w:rPr>
              <w:t>NFX MISO Arkansas Hub Day-Ahead Peak Mini Financial Futures - 5MW (ALIQ)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389B</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bCs/>
                <w:color w:val="000000"/>
                <w:sz w:val="24"/>
                <w:szCs w:val="24"/>
                <w:u w:val="single"/>
              </w:rPr>
              <w:t>NFX MISO Arkansas Hub Day-Ahead Peak Mini Financial Futures - 1MW (ALOQ)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Financial Futures (ALFQ)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390A</w:t>
            </w:r>
          </w:p>
        </w:tc>
        <w:tc>
          <w:tcPr>
            <w:tcW w:w="8032" w:type="dxa"/>
            <w:noWrap/>
            <w:hideMark/>
          </w:tcPr>
          <w:p w:rsidR="007011C9" w:rsidRPr="00AD63E2" w:rsidRDefault="007011C9" w:rsidP="0090792B">
            <w:pPr>
              <w:spacing w:after="0" w:line="240" w:lineRule="auto"/>
              <w:rPr>
                <w:bCs/>
                <w:color w:val="000000"/>
                <w:sz w:val="24"/>
                <w:szCs w:val="24"/>
                <w:u w:val="single"/>
              </w:rPr>
            </w:pPr>
            <w:r w:rsidRPr="00AD63E2">
              <w:rPr>
                <w:color w:val="000000"/>
                <w:sz w:val="24"/>
                <w:szCs w:val="24"/>
                <w:u w:val="single"/>
              </w:rPr>
              <w:t>NFX MISO Arkansas Hub Day-Ahead Off-Peak Mini Financial Futures - 25MWh (ALTQ)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390B</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- 5MWh (ALVQ)</w:t>
            </w:r>
          </w:p>
        </w:tc>
      </w:tr>
      <w:tr w:rsidR="007011C9" w:rsidRPr="00AD63E2" w:rsidTr="0090792B">
        <w:trPr>
          <w:trHeight w:val="288"/>
        </w:trPr>
        <w:tc>
          <w:tcPr>
            <w:tcW w:w="1390"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390C</w:t>
            </w:r>
          </w:p>
        </w:tc>
        <w:tc>
          <w:tcPr>
            <w:tcW w:w="8032" w:type="dxa"/>
            <w:noWrap/>
            <w:hideMark/>
          </w:tcPr>
          <w:p w:rsidR="007011C9" w:rsidRPr="00AD63E2" w:rsidRDefault="007011C9" w:rsidP="0090792B">
            <w:pPr>
              <w:spacing w:after="0" w:line="240" w:lineRule="auto"/>
              <w:rPr>
                <w:color w:val="000000"/>
                <w:sz w:val="24"/>
                <w:szCs w:val="24"/>
                <w:u w:val="single"/>
              </w:rPr>
            </w:pPr>
            <w:r w:rsidRPr="00AD63E2">
              <w:rPr>
                <w:color w:val="000000"/>
                <w:sz w:val="24"/>
                <w:szCs w:val="24"/>
                <w:u w:val="single"/>
              </w:rPr>
              <w:t>NFX MISO Arkansas Hub Day-Ahead Off-Peak Mini Financial Futures - 1MWh (ALNQ)</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PETROCHEMICALS PRODUCTS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FERROUS METALS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u w:val="single"/>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TANKER FREIGHT – No Change</w:t>
            </w: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p>
        </w:tc>
      </w:tr>
      <w:tr w:rsidR="007011C9" w:rsidRPr="00783359" w:rsidTr="0090792B">
        <w:tc>
          <w:tcPr>
            <w:tcW w:w="1390" w:type="dxa"/>
          </w:tcPr>
          <w:p w:rsidR="007011C9" w:rsidRPr="00783359" w:rsidRDefault="007011C9" w:rsidP="0090792B">
            <w:pPr>
              <w:spacing w:line="240" w:lineRule="auto"/>
              <w:contextualSpacing/>
              <w:rPr>
                <w:b/>
                <w:sz w:val="24"/>
                <w:szCs w:val="24"/>
                <w:u w:val="single"/>
              </w:rPr>
            </w:pPr>
          </w:p>
        </w:tc>
        <w:tc>
          <w:tcPr>
            <w:tcW w:w="8032" w:type="dxa"/>
          </w:tcPr>
          <w:p w:rsidR="007011C9" w:rsidRPr="00783359" w:rsidRDefault="007011C9" w:rsidP="0090792B">
            <w:pPr>
              <w:spacing w:line="240" w:lineRule="auto"/>
              <w:contextualSpacing/>
              <w:rPr>
                <w:b/>
                <w:sz w:val="24"/>
                <w:szCs w:val="24"/>
              </w:rPr>
            </w:pPr>
            <w:r w:rsidRPr="00783359">
              <w:rPr>
                <w:b/>
                <w:sz w:val="24"/>
                <w:szCs w:val="24"/>
              </w:rPr>
              <w:t>DRY FREIGHT – No Change</w:t>
            </w:r>
          </w:p>
        </w:tc>
      </w:tr>
    </w:tbl>
    <w:p w:rsidR="007011C9" w:rsidRPr="00783359" w:rsidRDefault="007011C9" w:rsidP="007011C9">
      <w:pPr>
        <w:spacing w:after="0" w:line="240" w:lineRule="auto"/>
        <w:rPr>
          <w:rFonts w:ascii="Times New Roman" w:hAnsi="Times New Roman" w:cs="Times New Roman"/>
          <w:sz w:val="24"/>
          <w:szCs w:val="24"/>
        </w:rPr>
      </w:pPr>
      <w:bookmarkStart w:id="3" w:name="OLE_LINK32"/>
      <w:bookmarkStart w:id="4" w:name="OLE_LINK33"/>
      <w:bookmarkStart w:id="5" w:name="OLE_LINK34"/>
    </w:p>
    <w:bookmarkEnd w:id="3"/>
    <w:bookmarkEnd w:id="4"/>
    <w:bookmarkEnd w:id="5"/>
    <w:p w:rsidR="007011C9" w:rsidRPr="00783359" w:rsidRDefault="007011C9" w:rsidP="007011C9">
      <w:pPr>
        <w:spacing w:line="240" w:lineRule="auto"/>
        <w:jc w:val="center"/>
        <w:rPr>
          <w:rFonts w:ascii="Times New Roman" w:hAnsi="Times New Roman" w:cs="Times New Roman"/>
          <w:sz w:val="24"/>
          <w:szCs w:val="24"/>
        </w:rPr>
      </w:pPr>
      <w:r w:rsidRPr="00783359">
        <w:rPr>
          <w:rFonts w:ascii="Times New Roman" w:hAnsi="Times New Roman" w:cs="Times New Roman"/>
          <w:sz w:val="24"/>
          <w:szCs w:val="24"/>
        </w:rPr>
        <w:t>*****</w:t>
      </w: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t xml:space="preserve">Chapter </w:t>
      </w:r>
      <w:r w:rsidRPr="006D17C0">
        <w:rPr>
          <w:rFonts w:ascii="Times New Roman" w:eastAsia="Times New Roman" w:hAnsi="Times New Roman" w:cs="Times New Roman"/>
          <w:b/>
          <w:bCs/>
          <w:noProof/>
          <w:color w:val="000000"/>
          <w:sz w:val="24"/>
          <w:szCs w:val="24"/>
          <w:u w:val="single"/>
        </w:rPr>
        <w:t>369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Financial Futures (DEPQ)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6" w:name="OLE_LINK1"/>
      <w:bookmarkStart w:id="7" w:name="OLE_LINK2"/>
      <w:bookmarkStart w:id="8" w:name="OLE_LINK3"/>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1"/>
      </w:r>
      <w:bookmarkEnd w:id="6"/>
      <w:bookmarkEnd w:id="7"/>
      <w:bookmarkEnd w:id="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lastRenderedPageBreak/>
        <w:t>369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7011C9">
          <w:headerReference w:type="default" r:id="rId11"/>
          <w:footnotePr>
            <w:numRestart w:val="eachSect"/>
          </w:footnotePr>
          <w:pgSz w:w="12240" w:h="15840"/>
          <w:pgMar w:top="1440" w:right="1440" w:bottom="1440" w:left="1440" w:header="720" w:footer="720" w:gutter="0"/>
          <w:pgNumType w:start="1"/>
          <w:cols w:space="720"/>
          <w:titlePg/>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- 5MW (DEVQ)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9" w:name="OLE_LINK4"/>
      <w:bookmarkStart w:id="10" w:name="OLE_LINK5"/>
      <w:bookmarkStart w:id="11" w:name="OLE_LINK6"/>
      <w:r w:rsidRPr="006D17C0">
        <w:rPr>
          <w:rStyle w:val="FootnoteReference"/>
          <w:rFonts w:ascii="Times New Roman" w:eastAsia="Times New Roman" w:hAnsi="Times New Roman" w:cs="Times New Roman"/>
          <w:color w:val="000000"/>
          <w:sz w:val="24"/>
          <w:szCs w:val="24"/>
          <w:u w:val="single"/>
        </w:rPr>
        <w:t xml:space="preserve"> </w:t>
      </w:r>
      <w:r w:rsidRPr="006D17C0">
        <w:rPr>
          <w:rStyle w:val="FootnoteReference"/>
          <w:rFonts w:ascii="Times New Roman" w:eastAsia="Times New Roman" w:hAnsi="Times New Roman" w:cs="Times New Roman"/>
          <w:color w:val="000000"/>
          <w:sz w:val="24"/>
          <w:szCs w:val="24"/>
          <w:u w:val="single"/>
        </w:rPr>
        <w:footnoteReference w:id="2"/>
      </w:r>
      <w:bookmarkEnd w:id="9"/>
      <w:bookmarkEnd w:id="10"/>
      <w:bookmarkEnd w:id="1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369B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Peak Mini Financial Futures - 1MW (DENQ)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DEOK Zone as published by PJM where the peak hours are the hours ending 08:00-23:00 EPT for each Monday through Friday, excluding NERC holidays.</w:t>
      </w:r>
      <w:bookmarkStart w:id="12" w:name="OLE_LINK7"/>
      <w:bookmarkStart w:id="13" w:name="OLE_LINK8"/>
      <w:bookmarkStart w:id="14" w:name="OLE_LINK9"/>
      <w:r w:rsidRPr="006D17C0">
        <w:rPr>
          <w:rStyle w:val="FootnoteReference"/>
          <w:rFonts w:ascii="Times New Roman" w:eastAsia="Times New Roman" w:hAnsi="Times New Roman" w:cs="Times New Roman"/>
          <w:color w:val="000000"/>
          <w:sz w:val="24"/>
          <w:szCs w:val="24"/>
          <w:u w:val="single"/>
        </w:rPr>
        <w:footnoteReference w:id="3"/>
      </w:r>
      <w:bookmarkEnd w:id="12"/>
      <w:bookmarkEnd w:id="13"/>
      <w:bookmarkEnd w:id="1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369B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Financial Futures (DOFQ)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5" w:name="OLE_LINK10"/>
      <w:bookmarkStart w:id="16" w:name="OLE_LINK11"/>
      <w:bookmarkStart w:id="17" w:name="OLE_LINK12"/>
      <w:bookmarkStart w:id="18" w:name="OLE_LINK13"/>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
      </w:r>
      <w:bookmarkEnd w:id="15"/>
      <w:bookmarkEnd w:id="16"/>
      <w:bookmarkEnd w:id="17"/>
      <w:bookmarkEnd w:id="18"/>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- 25MWh (DOTQ)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- 5MWh (DOIQ)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footnoteReference w:id="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DEOK Zone Day-Ahead Off-Peak Mini Financial Futures - 1MWh (DOOQ)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DEOK Zone as published by PJM where the off-peak hours are the hours ending 01:00-07:00 and 24:00 EPT for each Monday through Friday, excluding NERC holidays; and the hours ending 01:00-24:00 EPT for each Saturday, Sunday, and NERC holiday.</w:t>
      </w:r>
      <w:bookmarkStart w:id="19" w:name="OLE_LINK14"/>
      <w:bookmarkStart w:id="20" w:name="OLE_LINK15"/>
      <w:bookmarkStart w:id="21" w:name="OLE_LINK16"/>
      <w:r w:rsidR="00184E95" w:rsidRPr="006D17C0">
        <w:rPr>
          <w:rStyle w:val="FootnoteReference"/>
          <w:rFonts w:ascii="Times New Roman" w:eastAsia="Times New Roman" w:hAnsi="Times New Roman" w:cs="Times New Roman"/>
          <w:color w:val="000000"/>
          <w:sz w:val="24"/>
          <w:szCs w:val="24"/>
          <w:u w:val="single"/>
        </w:rPr>
        <w:footnoteReference w:id="7"/>
      </w:r>
      <w:bookmarkEnd w:id="19"/>
      <w:bookmarkEnd w:id="20"/>
      <w:bookmarkEnd w:id="21"/>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Financial Futures (DOPQ)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2" w:name="OLE_LINK17"/>
      <w:bookmarkStart w:id="23" w:name="OLE_LINK18"/>
      <w:bookmarkStart w:id="24" w:name="OLE_LINK19"/>
      <w:r w:rsidR="00184E95" w:rsidRPr="006D17C0">
        <w:rPr>
          <w:rStyle w:val="FootnoteReference"/>
          <w:rFonts w:ascii="Times New Roman" w:eastAsia="Times New Roman" w:hAnsi="Times New Roman" w:cs="Times New Roman"/>
          <w:color w:val="000000"/>
          <w:sz w:val="24"/>
          <w:szCs w:val="24"/>
          <w:u w:val="single"/>
        </w:rPr>
        <w:footnoteReference w:id="8"/>
      </w:r>
      <w:bookmarkEnd w:id="22"/>
      <w:bookmarkEnd w:id="23"/>
      <w:bookmarkEnd w:id="24"/>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- 5MW (DOVQ)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5" w:name="OLE_LINK20"/>
      <w:bookmarkStart w:id="26" w:name="OLE_LINK21"/>
      <w:bookmarkStart w:id="27" w:name="OLE_LINK22"/>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9"/>
      </w:r>
      <w:bookmarkEnd w:id="25"/>
      <w:bookmarkEnd w:id="26"/>
      <w:bookmarkEnd w:id="27"/>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Peak Mini Financial Futures - 1MW (DONQ)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DOM Zone as published by PJM where the peak hours are the hours ending 08:00-23:00 EPT for each Monday through Friday, excluding NERC holidays.</w:t>
      </w:r>
      <w:bookmarkStart w:id="28" w:name="OLE_LINK23"/>
      <w:bookmarkStart w:id="29" w:name="OLE_LINK24"/>
      <w:bookmarkStart w:id="30" w:name="OLE_LINK25"/>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0"/>
      </w:r>
      <w:bookmarkEnd w:id="28"/>
      <w:bookmarkEnd w:id="29"/>
      <w:bookmarkEnd w:id="30"/>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Financial Futures (DOMQ)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1" w:name="OLE_LINK26"/>
      <w:bookmarkStart w:id="32" w:name="OLE_LINK27"/>
      <w:bookmarkStart w:id="33" w:name="OLE_LINK28"/>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1"/>
      </w:r>
      <w:bookmarkEnd w:id="31"/>
      <w:bookmarkEnd w:id="32"/>
      <w:bookmarkEnd w:id="33"/>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- 25MWh (DOWQ)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bookmarkStart w:id="34" w:name="OLE_LINK29"/>
      <w:bookmarkStart w:id="35" w:name="OLE_LINK30"/>
      <w:bookmarkStart w:id="36" w:name="OLE_LINK31"/>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2"/>
      </w:r>
      <w:bookmarkEnd w:id="34"/>
      <w:bookmarkEnd w:id="35"/>
      <w:bookmarkEnd w:id="36"/>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- 5MWh (DOEQ)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DOM Zone Day-Ahead Off-Peak Mini Financial Futures - 1MWh (DOUQ)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DOM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(PZBQ)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- 5MW (PZFQ)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Peak Financial Futures - 1MW (PZNQ)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PENELEC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Financial Futures (PZDQ)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- 25MWh (PZTQ)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19"/>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- 5MWh (PZUQ)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0"/>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PENELEC Zone Day-Ahead Off-Peak Mini Financial Futures - 1MWh (PZZQ)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PENELEC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1"/>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Financial Futures (PXBQ)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2"/>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- 5MW (PXFQ)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3"/>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Peak Mini Financial Futures - 1MW (PXOQ)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peak locational marginal prices ("LMPs") for the DPL Zone as published by PJM where the peak hours are the hours ending 08:00-23:00 EPT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4"/>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Financial Futures (PXDQ)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5"/>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- 25MWh (PXTQ)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6"/>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- 5MWh (PXIQ)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7"/>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PJM DPL Zone Day-Ahead Off-Peak Mini Financial Futures - 1MWh (PXNQ)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DPL Zone as published by PJM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8"/>
      </w:r>
      <w:r w:rsidRPr="006D17C0">
        <w:rPr>
          <w:rFonts w:ascii="Times New Roman" w:eastAsia="Times New Roman" w:hAnsi="Times New Roman" w:cs="Times New Roman"/>
          <w:noProof/>
          <w:color w:val="000000"/>
          <w:sz w:val="24"/>
          <w:szCs w:val="24"/>
          <w:u w:val="single"/>
        </w:rPr>
        <w:t xml:space="preserve"> All PJM day-ahead hourly LMPs for the contract month will be considered final at 5:00 PM EPT on the fifth business day following the last trading day, and the final settlement price will not be adjusted in the event that PJM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PJM</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Financial Futures (AASQ)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29"/>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- 5MW (AAFQ)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Peak Mini Financial Futures - 1MW (AAOQ)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North East Massachusetts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Financial Futures (AATQ)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(AAWQ)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North East Massachusetts Zone Day-Ahead Off-Peak Mini Financial Futures - 1MW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(AANQ)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North East Massachusetts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Financial Futures (IEBQ)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6"/>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- 5MW (IEFQ)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7"/>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379B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Peak Mini Financial Futures - 1MW (IEOQ)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Maine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8"/>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379B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Financial Futures (IEDQ)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3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- 25MW</w:t>
      </w:r>
      <w:r w:rsidR="004F5276">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0"/>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- 5MW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1"/>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Maine Zone Day-Ahead Off-Peak Mini Financial Futures - 1MW</w:t>
      </w:r>
      <w:r w:rsidR="00E511F5">
        <w:rPr>
          <w:rFonts w:ascii="Times New Roman" w:eastAsia="Times New Roman" w:hAnsi="Times New Roman" w:cs="Times New Roman"/>
          <w:b/>
          <w:bCs/>
          <w:noProof/>
          <w:color w:val="000000"/>
          <w:sz w:val="24"/>
          <w:szCs w:val="24"/>
          <w:u w:val="single"/>
        </w:rPr>
        <w:t>h</w:t>
      </w:r>
      <w:r w:rsidRPr="006D17C0">
        <w:rPr>
          <w:rFonts w:ascii="Times New Roman" w:eastAsia="Times New Roman" w:hAnsi="Times New Roman" w:cs="Times New Roman"/>
          <w:b/>
          <w:bCs/>
          <w:noProof/>
          <w:color w:val="000000"/>
          <w:sz w:val="24"/>
          <w:szCs w:val="24"/>
          <w:u w:val="single"/>
        </w:rPr>
        <w:t xml:space="preserve"> (IENQ)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Maine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2"/>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Financial Futures (RIYQ)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3"/>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- 5MW (RIFQ)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4"/>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381B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Peak Mini Financial Futures - 1MW (RIOQ)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Rhode Island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5"/>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381B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Financial Futures (RIZQ)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- 25MWh (RITQ)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7"/>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- 5MWh (RIIQ)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8"/>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382C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Rhode Island Zone Day-Ahead Off-Peak Mini Financial Futures - 1MWh (RINQ)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Rhode Island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49"/>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382C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Financial Futures (IHBQ)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0"/>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- 5MW (IHFQ)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1"/>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383B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Peak Mini Financial Futures - 1MW (IHOQ)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New Hampshire Zone as published by ISO-NE where the peak hours are the hours ending 8:00-23:00 for each Monday through Friday, excluding NERC holidays.</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2"/>
      </w:r>
      <w:r w:rsidRPr="006D17C0">
        <w:rPr>
          <w:rFonts w:ascii="Times New Roman" w:eastAsia="Times New Roman" w:hAnsi="Times New Roman" w:cs="Times New Roman"/>
          <w:noProof/>
          <w:color w:val="000000"/>
          <w:sz w:val="24"/>
          <w:szCs w:val="24"/>
          <w:u w:val="single"/>
        </w:rPr>
        <w:t xml:space="preserve"> All ISO-NE hourly day-ahead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383B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Financial Futures (IHDQ)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184E95" w:rsidRPr="006D17C0">
        <w:rPr>
          <w:rStyle w:val="FootnoteReference"/>
          <w:rFonts w:ascii="Times New Roman" w:eastAsia="Times New Roman" w:hAnsi="Times New Roman" w:cs="Times New Roman"/>
          <w:color w:val="000000"/>
          <w:sz w:val="24"/>
          <w:szCs w:val="24"/>
          <w:u w:val="single"/>
        </w:rPr>
        <w:t xml:space="preserve"> </w:t>
      </w:r>
      <w:r w:rsidR="00184E95" w:rsidRPr="006D17C0">
        <w:rPr>
          <w:rStyle w:val="FootnoteReference"/>
          <w:rFonts w:ascii="Times New Roman" w:eastAsia="Times New Roman" w:hAnsi="Times New Roman" w:cs="Times New Roman"/>
          <w:color w:val="000000"/>
          <w:sz w:val="24"/>
          <w:szCs w:val="24"/>
          <w:u w:val="single"/>
        </w:rPr>
        <w:footnoteReference w:id="53"/>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- 25MWh (IHTQ)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4"/>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- 5MWh (IHIQ)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5"/>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384C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ISO-NE New Hampshire Zone Day-Ahead Off-Peak Mini Financial Futures - 1MWh (IHNQ)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New Hampshire Zone as published by ISO-NE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6"/>
      </w:r>
      <w:r w:rsidRPr="006D17C0">
        <w:rPr>
          <w:rFonts w:ascii="Times New Roman" w:eastAsia="Times New Roman" w:hAnsi="Times New Roman" w:cs="Times New Roman"/>
          <w:noProof/>
          <w:color w:val="000000"/>
          <w:sz w:val="24"/>
          <w:szCs w:val="24"/>
          <w:u w:val="single"/>
        </w:rPr>
        <w:t xml:space="preserve"> All ISO-NE day-ahead hourly LMPs for the contract month will be considered final at 5:00 PM EPT on the fifth business day following the last trading day, and the final settlement price will not be adjusted in the event that ISO-NE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384C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ISO-NE</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Financial Futures (MGPQ)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7"/>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- 5MW (MGFQ)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8"/>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385B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Peak Mini Financial Futures - 1MW (MGOQ)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Michigan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59"/>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385B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Financial Futures (MGQQ)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- 25MWh (MGTQ)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1"/>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- 5MWh (MGIQ)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2"/>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386C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Michigan Hub Day-Ahead Off-Peak Mini Financial Futures - 1MWh (MGNQ)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Michigan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3"/>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386C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Financial Futures (BGFQ)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4"/>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- 5MW (BGIQ)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5"/>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387B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Peak Mini Financial Futures - 1MW (BGNQ)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AMIL.BGS6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6"/>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387B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Financial Futures (BBFQ)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- 25MWh (BBTQ)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8"/>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- 5MWh (BBIQ)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69"/>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388C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AMIL.BGS6 Day-Ahead Off-Peak Mini Financial Futures - 1MWh (BBOQ)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AMIL.BGS6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0"/>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388C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Financial Futures (ALPQ)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The unit of trading for one contract is</w:t>
      </w:r>
      <w:r w:rsidRPr="006D17C0">
        <w:rPr>
          <w:rFonts w:ascii="Times New Roman" w:hAnsi="Times New Roman" w:cs="Times New Roman"/>
          <w:noProof/>
          <w:sz w:val="24"/>
          <w:szCs w:val="24"/>
          <w:u w:val="single"/>
        </w:rPr>
        <w:t xml:space="preserve"> 800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$8.00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1"/>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w:t>
      </w:r>
      <w:r w:rsidRPr="006D17C0">
        <w:rPr>
          <w:rFonts w:ascii="Times New Roman" w:eastAsia="Times New Roman" w:hAnsi="Times New Roman" w:cs="Times New Roman"/>
          <w:color w:val="000000"/>
          <w:sz w:val="24"/>
          <w:szCs w:val="24"/>
          <w:u w:val="single"/>
        </w:rPr>
        <w:lastRenderedPageBreak/>
        <w:t>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- 5MW (ALIQ)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80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$0.80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2"/>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389B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Peak Mini Financial Futures - 1MW (ALOQ)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16</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$0.16</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shall be equal to the mathematical average of the day-ahead hourly peak locational marginal prices (“LMPs”) for the Arkansas Hub as published by MISO where the peak hours are the hours ending 8:00-23:00 for each Monday through Friday, excluding NERC holidays.</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3"/>
      </w:r>
      <w:r w:rsidRPr="006D17C0">
        <w:rPr>
          <w:rFonts w:ascii="Times New Roman" w:eastAsia="Times New Roman" w:hAnsi="Times New Roman" w:cs="Times New Roman"/>
          <w:noProof/>
          <w:color w:val="000000"/>
          <w:sz w:val="24"/>
          <w:szCs w:val="24"/>
          <w:u w:val="single"/>
        </w:rPr>
        <w:t xml:space="preserve"> All MISO hourly day-ahead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389B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Financial Futures (ALFQ)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50</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$0.50</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4"/>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(d) </w:t>
      </w:r>
      <w:r w:rsidRPr="006D17C0">
        <w:rPr>
          <w:rFonts w:ascii="Times New Roman" w:eastAsia="Times New Roman" w:hAnsi="Times New Roman" w:cs="Times New Roman"/>
          <w:color w:val="000000"/>
          <w:sz w:val="24"/>
          <w:szCs w:val="24"/>
          <w:u w:val="single"/>
        </w:rPr>
        <w:t xml:space="preserve">If the daily settlement price described in (b) above is unavailable the Exchange may in its sole discretion establish a daily settlement price that it deems to be a fair and reasonable </w:t>
      </w:r>
      <w:r w:rsidRPr="006D17C0">
        <w:rPr>
          <w:rFonts w:ascii="Times New Roman" w:eastAsia="Times New Roman" w:hAnsi="Times New Roman" w:cs="Times New Roman"/>
          <w:color w:val="000000"/>
          <w:sz w:val="24"/>
          <w:szCs w:val="24"/>
          <w:u w:val="single"/>
        </w:rPr>
        <w:lastRenderedPageBreak/>
        <w:t>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390A</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- 25MWh (ALTQ)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 xml:space="preserve">trading for one contract is </w:t>
      </w:r>
      <w:r w:rsidRPr="006D17C0">
        <w:rPr>
          <w:rFonts w:ascii="Times New Roman" w:hAnsi="Times New Roman" w:cs="Times New Roman"/>
          <w:noProof/>
          <w:sz w:val="24"/>
          <w:szCs w:val="24"/>
          <w:u w:val="single"/>
        </w:rPr>
        <w:t>25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$0.25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5"/>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390A</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390B</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- 5MWh (ALVQ)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5</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$0.05</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2D26FC" w:rsidRPr="006D17C0">
        <w:rPr>
          <w:rStyle w:val="FootnoteReference"/>
          <w:rFonts w:ascii="Times New Roman" w:eastAsia="Times New Roman" w:hAnsi="Times New Roman" w:cs="Times New Roman"/>
          <w:color w:val="000000"/>
          <w:sz w:val="24"/>
          <w:szCs w:val="24"/>
          <w:u w:val="single"/>
        </w:rPr>
        <w:t xml:space="preserve"> </w:t>
      </w:r>
      <w:r w:rsidR="002D26FC" w:rsidRPr="006D17C0">
        <w:rPr>
          <w:rStyle w:val="FootnoteReference"/>
          <w:rFonts w:ascii="Times New Roman" w:eastAsia="Times New Roman" w:hAnsi="Times New Roman" w:cs="Times New Roman"/>
          <w:color w:val="000000"/>
          <w:sz w:val="24"/>
          <w:szCs w:val="24"/>
          <w:u w:val="single"/>
        </w:rPr>
        <w:footnoteReference w:id="76"/>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390B</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1340DD">
      <w:pPr>
        <w:keepNext/>
        <w:spacing w:after="240" w:line="240" w:lineRule="auto"/>
        <w:rPr>
          <w:rFonts w:ascii="Times New Roman" w:eastAsia="Times New Roman" w:hAnsi="Times New Roman" w:cs="Times New Roman"/>
          <w:b/>
          <w:bCs/>
          <w:sz w:val="24"/>
          <w:szCs w:val="24"/>
          <w:u w:val="single"/>
        </w:rPr>
      </w:pPr>
      <w:r w:rsidRPr="006D17C0">
        <w:rPr>
          <w:rFonts w:ascii="Times New Roman" w:eastAsia="Times New Roman" w:hAnsi="Times New Roman" w:cs="Times New Roman"/>
          <w:b/>
          <w:bCs/>
          <w:color w:val="000000"/>
          <w:sz w:val="24"/>
          <w:szCs w:val="24"/>
          <w:u w:val="single"/>
        </w:rPr>
        <w:lastRenderedPageBreak/>
        <w:t xml:space="preserve">Chapter </w:t>
      </w:r>
      <w:r w:rsidRPr="006D17C0">
        <w:rPr>
          <w:rFonts w:ascii="Times New Roman" w:eastAsia="Times New Roman" w:hAnsi="Times New Roman" w:cs="Times New Roman"/>
          <w:b/>
          <w:bCs/>
          <w:noProof/>
          <w:color w:val="000000"/>
          <w:sz w:val="24"/>
          <w:szCs w:val="24"/>
          <w:u w:val="single"/>
        </w:rPr>
        <w:t>390C</w:t>
      </w:r>
      <w:r w:rsidRPr="006D17C0">
        <w:rPr>
          <w:rFonts w:ascii="Times New Roman" w:eastAsia="Times New Roman" w:hAnsi="Times New Roman" w:cs="Times New Roman"/>
          <w:b/>
          <w:bCs/>
          <w:color w:val="000000"/>
          <w:sz w:val="24"/>
          <w:szCs w:val="24"/>
          <w:u w:val="single"/>
        </w:rPr>
        <w:t xml:space="preserve">. </w:t>
      </w:r>
      <w:r w:rsidRPr="006D17C0">
        <w:rPr>
          <w:rFonts w:ascii="Times New Roman" w:eastAsia="Times New Roman" w:hAnsi="Times New Roman" w:cs="Times New Roman"/>
          <w:b/>
          <w:bCs/>
          <w:noProof/>
          <w:color w:val="000000"/>
          <w:sz w:val="24"/>
          <w:szCs w:val="24"/>
          <w:u w:val="single"/>
        </w:rPr>
        <w:t>NFX MISO Arkansas Hub Day-Ahead Off-Peak Mini Financial Futures - 1MWh (ALNQ)</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.01 Unit of Trading</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unit of </w:t>
      </w:r>
      <w:r w:rsidR="00510497">
        <w:rPr>
          <w:rFonts w:ascii="Times New Roman" w:hAnsi="Times New Roman" w:cs="Times New Roman"/>
          <w:sz w:val="24"/>
          <w:szCs w:val="24"/>
          <w:u w:val="single"/>
        </w:rPr>
        <w:t>trading for one contract is</w:t>
      </w:r>
      <w:r w:rsidRPr="006D17C0">
        <w:rPr>
          <w:rFonts w:ascii="Times New Roman" w:hAnsi="Times New Roman" w:cs="Times New Roman"/>
          <w:noProof/>
          <w:sz w:val="24"/>
          <w:szCs w:val="24"/>
          <w:u w:val="single"/>
        </w:rPr>
        <w:t xml:space="preserve"> 1</w:t>
      </w:r>
      <w:r w:rsidRPr="006D17C0">
        <w:rPr>
          <w:rFonts w:ascii="Times New Roman" w:hAnsi="Times New Roman" w:cs="Times New Roman"/>
          <w:sz w:val="24"/>
          <w:szCs w:val="24"/>
          <w:u w:val="single"/>
        </w:rPr>
        <w:t xml:space="preserve">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.02 Contract Months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The Exchange may list for trading up to </w:t>
      </w:r>
      <w:r w:rsidRPr="006D17C0">
        <w:rPr>
          <w:rFonts w:ascii="Times New Roman" w:hAnsi="Times New Roman" w:cs="Times New Roman"/>
          <w:noProof/>
          <w:sz w:val="24"/>
          <w:szCs w:val="24"/>
          <w:u w:val="single"/>
        </w:rPr>
        <w:t>120</w:t>
      </w:r>
      <w:r w:rsidRPr="006D17C0">
        <w:rPr>
          <w:rFonts w:ascii="Times New Roman" w:hAnsi="Times New Roman" w:cs="Times New Roman"/>
          <w:sz w:val="24"/>
          <w:szCs w:val="24"/>
          <w:u w:val="single"/>
        </w:rPr>
        <w:t xml:space="preserve"> consecutive or non-consecutive monthly contracts, beginning with the nearest available contract month.</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.03 Prices and Minimum Increments</w:t>
      </w:r>
    </w:p>
    <w:p w:rsidR="00322266" w:rsidRPr="006D17C0" w:rsidRDefault="00322266" w:rsidP="004F64E6">
      <w:pPr>
        <w:spacing w:after="240" w:line="240" w:lineRule="auto"/>
        <w:rPr>
          <w:rFonts w:ascii="Times New Roman" w:hAnsi="Times New Roman" w:cs="Times New Roman"/>
          <w:sz w:val="24"/>
          <w:szCs w:val="24"/>
          <w:u w:val="single"/>
        </w:rPr>
      </w:pPr>
      <w:r w:rsidRPr="006D17C0">
        <w:rPr>
          <w:rFonts w:ascii="Times New Roman" w:hAnsi="Times New Roman" w:cs="Times New Roman"/>
          <w:sz w:val="24"/>
          <w:szCs w:val="24"/>
          <w:u w:val="single"/>
        </w:rPr>
        <w:t xml:space="preserve">Prices are quoted in U.S. dollars and cents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The minimum trading increment is </w:t>
      </w:r>
      <w:r w:rsidRPr="006D17C0">
        <w:rPr>
          <w:rFonts w:ascii="Times New Roman" w:eastAsia="Times New Roman" w:hAnsi="Times New Roman" w:cs="Times New Roman"/>
          <w:noProof/>
          <w:color w:val="000000"/>
          <w:sz w:val="24"/>
          <w:szCs w:val="24"/>
          <w:u w:val="single"/>
        </w:rPr>
        <w:t>$0.01</w:t>
      </w:r>
      <w:r w:rsidRPr="006D17C0">
        <w:rPr>
          <w:rFonts w:ascii="Times New Roman" w:hAnsi="Times New Roman" w:cs="Times New Roman"/>
          <w:sz w:val="24"/>
          <w:szCs w:val="24"/>
          <w:u w:val="single"/>
        </w:rPr>
        <w:t xml:space="preserve"> per </w:t>
      </w:r>
      <w:r w:rsidRPr="006D17C0">
        <w:rPr>
          <w:rFonts w:ascii="Times New Roman" w:hAnsi="Times New Roman" w:cs="Times New Roman"/>
          <w:noProof/>
          <w:sz w:val="24"/>
          <w:szCs w:val="24"/>
          <w:u w:val="single"/>
        </w:rPr>
        <w:t>MWh</w:t>
      </w:r>
      <w:r w:rsidRPr="006D17C0">
        <w:rPr>
          <w:rFonts w:ascii="Times New Roman" w:hAnsi="Times New Roman" w:cs="Times New Roman"/>
          <w:sz w:val="24"/>
          <w:szCs w:val="24"/>
          <w:u w:val="single"/>
        </w:rPr>
        <w:t xml:space="preserve"> which is equal to </w:t>
      </w:r>
      <w:r w:rsidRPr="006D17C0">
        <w:rPr>
          <w:rFonts w:ascii="Times New Roman" w:hAnsi="Times New Roman" w:cs="Times New Roman"/>
          <w:noProof/>
          <w:sz w:val="24"/>
          <w:szCs w:val="24"/>
          <w:u w:val="single"/>
        </w:rPr>
        <w:t>$0.01</w:t>
      </w:r>
      <w:r w:rsidRPr="006D17C0">
        <w:rPr>
          <w:rFonts w:ascii="Times New Roman" w:hAnsi="Times New Roman" w:cs="Times New Roman"/>
          <w:sz w:val="24"/>
          <w:szCs w:val="24"/>
          <w:u w:val="single"/>
        </w:rPr>
        <w:t xml:space="preserve"> per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.04 Last Trading Day</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Trading for a particular contract month terminates on the last business day of the contract month. Trading ceases at 6:00 PM EPT on the last trading day.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.05 Final Settlement Date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The final settlement date for any contract month shall be the seventh business day on which the Clearing Corporation is open for settlement following the last trading day for that contract month. On the final settlement date the Clearing Corporation shall effect the final variation payment to be made on each contract.</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.06 Final and Daily Settlement and Settlement Prices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(a) </w:t>
      </w:r>
      <w:r w:rsidRPr="006D17C0">
        <w:rPr>
          <w:rFonts w:ascii="Times New Roman" w:eastAsia="Times New Roman" w:hAnsi="Times New Roman" w:cs="Times New Roman"/>
          <w:color w:val="000000"/>
          <w:sz w:val="24"/>
          <w:szCs w:val="24"/>
          <w:u w:val="single"/>
        </w:rPr>
        <w:t>Final settlement for contracts held to their maturity date is by cash settlement in U.S. dollars.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(b) </w:t>
      </w:r>
      <w:r w:rsidRPr="006D17C0">
        <w:rPr>
          <w:rFonts w:ascii="Times New Roman" w:eastAsia="Times New Roman" w:hAnsi="Times New Roman" w:cs="Times New Roman"/>
          <w:color w:val="000000"/>
          <w:sz w:val="24"/>
          <w:szCs w:val="24"/>
          <w:u w:val="single"/>
        </w:rPr>
        <w:t>Pursuant to Chapter V, Section III, the daily settlement prices will be determined by NFX using price data from a number of sources including, spot, forward and derivative markets for both physical and financial products.</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t xml:space="preserve">(c) </w:t>
      </w:r>
      <w:r w:rsidRPr="006D17C0">
        <w:rPr>
          <w:rFonts w:ascii="Times New Roman" w:eastAsia="Times New Roman" w:hAnsi="Times New Roman" w:cs="Times New Roman"/>
          <w:noProof/>
          <w:color w:val="000000"/>
          <w:sz w:val="24"/>
          <w:szCs w:val="24"/>
          <w:u w:val="single"/>
        </w:rPr>
        <w:t>Pursuant to Chapter V, Section III, the final settlement price will be equal to the mathematical average of the day-ahead hourly off-peak locational marginal prices ("LMPs") for the Arkansas Hub as published by MISO where the off-peak hours are the hours ending 01:00-07:00 and 24:00 EPT for each Monday through Friday, excluding NERC holidays; and the hours ending 01:00-24:00 EPT for each Saturday, Sunday, and NERC holiday.</w:t>
      </w:r>
      <w:r w:rsidR="006D17C0" w:rsidRPr="006D17C0">
        <w:rPr>
          <w:rStyle w:val="FootnoteReference"/>
          <w:rFonts w:ascii="Times New Roman" w:eastAsia="Times New Roman" w:hAnsi="Times New Roman" w:cs="Times New Roman"/>
          <w:color w:val="000000"/>
          <w:sz w:val="24"/>
          <w:szCs w:val="24"/>
          <w:u w:val="single"/>
        </w:rPr>
        <w:t xml:space="preserve"> </w:t>
      </w:r>
      <w:r w:rsidR="006D17C0" w:rsidRPr="006D17C0">
        <w:rPr>
          <w:rStyle w:val="FootnoteReference"/>
          <w:rFonts w:ascii="Times New Roman" w:eastAsia="Times New Roman" w:hAnsi="Times New Roman" w:cs="Times New Roman"/>
          <w:color w:val="000000"/>
          <w:sz w:val="24"/>
          <w:szCs w:val="24"/>
          <w:u w:val="single"/>
        </w:rPr>
        <w:footnoteReference w:id="77"/>
      </w:r>
      <w:r w:rsidRPr="006D17C0">
        <w:rPr>
          <w:rFonts w:ascii="Times New Roman" w:eastAsia="Times New Roman" w:hAnsi="Times New Roman" w:cs="Times New Roman"/>
          <w:noProof/>
          <w:color w:val="000000"/>
          <w:sz w:val="24"/>
          <w:szCs w:val="24"/>
          <w:u w:val="single"/>
        </w:rPr>
        <w:t xml:space="preserve"> All MISO day-ahead hourly LMPs for the contract month will be considered final at 5:00 PM EPT on the fifth business day following the last trading day, and the final settlement price will not be adjusted in the event that MISO adjusts any LMPs at a later time for any reason.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hAnsi="Times New Roman" w:cs="Times New Roman"/>
          <w:sz w:val="24"/>
          <w:szCs w:val="24"/>
          <w:u w:val="single"/>
        </w:rPr>
        <w:lastRenderedPageBreak/>
        <w:t xml:space="preserve">(d) </w:t>
      </w:r>
      <w:r w:rsidRPr="006D17C0">
        <w:rPr>
          <w:rFonts w:ascii="Times New Roman" w:eastAsia="Times New Roman" w:hAnsi="Times New Roman" w:cs="Times New Roman"/>
          <w:color w:val="000000"/>
          <w:sz w:val="24"/>
          <w:szCs w:val="24"/>
          <w:u w:val="single"/>
        </w:rPr>
        <w:t>If the daily settlement price described in (b) above is unavailable the Exchange may in its sole discretion establish a daily settlement price that it deems to be a fair and reasonable reflection of the market. If the final settlement price is not available or the normal settlement procedure cannot be utilized due to a trading disruption or the other unusual circumstance, the final settlement price will be determined in accordance with the Rules and By-Laws of the Clearing Corporation.</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.07 Trading Algorithm</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5, the trading system shall execute orders within the trading system pursuant to the price-time priority order execution algorithm.</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.08 Block Trade Minimum Quantity Threshold and Reporting Window</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10, block trades shall be permitted with a minimum quantity threshold of 5 Contracts and the Reporting Window shall be 15 Minutes.</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.09 Order Price Limit Protection</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Pursuant to Chapter IV, Section 8, the Order Price Limits shall be $2.00 above and $2.00 below the Reference Price as defined in Chapter IV, Section 8.</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.10 Non-Reviewable Range</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For purposes of Chapter V, Section 5, the non-reviewable range shall be from $2.00 above to </w:t>
      </w:r>
      <w:r w:rsidR="003D6811">
        <w:rPr>
          <w:rFonts w:ascii="Times New Roman" w:eastAsia="Times New Roman" w:hAnsi="Times New Roman" w:cs="Times New Roman"/>
          <w:color w:val="000000"/>
          <w:sz w:val="24"/>
          <w:szCs w:val="24"/>
          <w:u w:val="single"/>
        </w:rPr>
        <w:t>$2.00 below</w:t>
      </w:r>
      <w:r w:rsidRPr="006D17C0">
        <w:rPr>
          <w:rFonts w:ascii="Times New Roman" w:eastAsia="Times New Roman" w:hAnsi="Times New Roman" w:cs="Times New Roman"/>
          <w:color w:val="000000"/>
          <w:sz w:val="24"/>
          <w:szCs w:val="24"/>
          <w:u w:val="single"/>
        </w:rPr>
        <w:t xml:space="preserve"> the true market price for the Contract as set forth in the Exchange's Error Trade Policy.</w:t>
      </w:r>
    </w:p>
    <w:p w:rsidR="00322266" w:rsidRPr="006D17C0" w:rsidRDefault="00322266" w:rsidP="004F64E6">
      <w:pPr>
        <w:keepNext/>
        <w:spacing w:after="0" w:line="240" w:lineRule="auto"/>
        <w:rPr>
          <w:rFonts w:ascii="Times New Roman" w:hAnsi="Times New Roman" w:cs="Times New Roman"/>
          <w:b/>
          <w:sz w:val="24"/>
          <w:szCs w:val="24"/>
          <w:u w:val="single"/>
        </w:rPr>
      </w:pPr>
      <w:r w:rsidRPr="006D17C0">
        <w:rPr>
          <w:rFonts w:ascii="Times New Roman" w:hAnsi="Times New Roman" w:cs="Times New Roman"/>
          <w:b/>
          <w:noProof/>
          <w:sz w:val="24"/>
          <w:szCs w:val="24"/>
          <w:u w:val="single"/>
        </w:rPr>
        <w:t>390C</w:t>
      </w:r>
      <w:r w:rsidRPr="006D17C0">
        <w:rPr>
          <w:rFonts w:ascii="Times New Roman" w:hAnsi="Times New Roman" w:cs="Times New Roman"/>
          <w:b/>
          <w:sz w:val="24"/>
          <w:szCs w:val="24"/>
          <w:u w:val="single"/>
        </w:rPr>
        <w:t>.11 Disclaimer</w:t>
      </w:r>
    </w:p>
    <w:p w:rsidR="00322266" w:rsidRPr="006D17C0" w:rsidRDefault="00322266" w:rsidP="004F64E6">
      <w:pPr>
        <w:spacing w:after="240" w:line="240" w:lineRule="auto"/>
        <w:rPr>
          <w:rFonts w:ascii="Times New Roman" w:eastAsia="Times New Roman" w:hAnsi="Times New Roman" w:cs="Times New Roman"/>
          <w:color w:val="000000"/>
          <w:sz w:val="24"/>
          <w:szCs w:val="24"/>
          <w:u w:val="single"/>
        </w:rPr>
      </w:pPr>
      <w:r w:rsidRPr="006D17C0">
        <w:rPr>
          <w:rFonts w:ascii="Times New Roman" w:eastAsia="Times New Roman" w:hAnsi="Times New Roman" w:cs="Times New Roman"/>
          <w:color w:val="000000"/>
          <w:sz w:val="24"/>
          <w:szCs w:val="24"/>
          <w:u w:val="single"/>
        </w:rPr>
        <w:t xml:space="preserve">NEITHER NASDAQ FUTURES, INC. ("NFX"), ITS AFFILIATES NOR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OR ITS AFFILIATES GUARANTEES THE ACCURACY NOR COMPLETENESS OF THE PRICE ASSESSMENT OR ANY OF THE DATA INCLUDED THEREIN.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AS TO THE RESULTS TO BE OBTAINED BY ANY PERSON OR ENTITY FROM USE OF THE PRICE ASSESSMENT, TRADING AND/OR CLEARING BASED ON THE PRICE ASSESSMENT, OR ANY DATA INCLUDED THEREIN IN CONNECTION WITH THE TRADING AND/OR CLEARING OF THE CONTRACT, OR, FOR ANY OTHER USE. NFX, ITS AFFILIATES AND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MAKE NO WARRANTIES, EXPRESS OR IMPLIED, AND HEREBY DISCLAIM ALL WARRANTIES OF MERCHANTABILITY OR FITNESS FOR A PARTICULAR PURPOSE OR USE WITH RESPECT TO THE PRICE ASSESSMENT OR ANY DATA INCLUDED THEREIN. WITHOUT LIMITING ANY OF THE FOREGOING, IN NO EVENT SHALL NFX, ITS AFFILIATES OR </w:t>
      </w:r>
      <w:r w:rsidRPr="006D17C0">
        <w:rPr>
          <w:rFonts w:ascii="Times New Roman" w:eastAsia="Times New Roman" w:hAnsi="Times New Roman" w:cs="Times New Roman"/>
          <w:noProof/>
          <w:color w:val="000000"/>
          <w:sz w:val="24"/>
          <w:szCs w:val="24"/>
          <w:u w:val="single"/>
        </w:rPr>
        <w:t>MISO</w:t>
      </w:r>
      <w:r w:rsidRPr="006D17C0">
        <w:rPr>
          <w:rFonts w:ascii="Times New Roman" w:eastAsia="Times New Roman" w:hAnsi="Times New Roman" w:cs="Times New Roman"/>
          <w:color w:val="000000"/>
          <w:sz w:val="24"/>
          <w:szCs w:val="24"/>
          <w:u w:val="single"/>
        </w:rPr>
        <w:t xml:space="preserve"> HAVE ANY LIABILITY FOR ANY LOST PROFITS OR INDIRECT, PUNITIVE, SPECIAL OR CONSEQUENTIAL DAMAGES (INCLUDING LOST PROFITS), EVEN IF NOTIFIED OF THE POSSIBILITY OF SUCH DAMAGES.</w:t>
      </w:r>
    </w:p>
    <w:p w:rsidR="00322266" w:rsidRPr="006D17C0" w:rsidRDefault="00322266" w:rsidP="004F64E6">
      <w:pPr>
        <w:spacing w:after="240" w:line="240" w:lineRule="auto"/>
        <w:rPr>
          <w:rFonts w:ascii="Times New Roman" w:eastAsia="Times New Roman" w:hAnsi="Times New Roman" w:cs="Times New Roman"/>
          <w:color w:val="000000"/>
          <w:sz w:val="24"/>
          <w:szCs w:val="24"/>
        </w:rPr>
        <w:sectPr w:rsidR="00322266" w:rsidRPr="006D17C0" w:rsidSect="00322266">
          <w:footnotePr>
            <w:numRestart w:val="eachSect"/>
          </w:footnotePr>
          <w:pgSz w:w="12240" w:h="15840"/>
          <w:pgMar w:top="1440" w:right="1440" w:bottom="1440" w:left="1440" w:header="720" w:footer="720" w:gutter="0"/>
          <w:pgNumType w:start="1"/>
          <w:cols w:space="720"/>
          <w:docGrid w:linePitch="360"/>
        </w:sectPr>
      </w:pPr>
    </w:p>
    <w:p w:rsidR="00322266" w:rsidRPr="006D17C0" w:rsidRDefault="00322266" w:rsidP="004F64E6">
      <w:pPr>
        <w:spacing w:after="240" w:line="240" w:lineRule="auto"/>
        <w:rPr>
          <w:rFonts w:ascii="Times New Roman" w:eastAsia="Times New Roman" w:hAnsi="Times New Roman" w:cs="Times New Roman"/>
          <w:color w:val="000000"/>
          <w:sz w:val="24"/>
          <w:szCs w:val="24"/>
        </w:rPr>
      </w:pPr>
    </w:p>
    <w:sectPr w:rsidR="00322266" w:rsidRPr="006D17C0" w:rsidSect="0032226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3" w:rsidRDefault="00936713" w:rsidP="00154462">
      <w:pPr>
        <w:spacing w:after="0" w:line="240" w:lineRule="auto"/>
      </w:pPr>
      <w:r>
        <w:separator/>
      </w:r>
    </w:p>
  </w:endnote>
  <w:endnote w:type="continuationSeparator" w:id="0">
    <w:p w:rsidR="00936713" w:rsidRDefault="00936713" w:rsidP="0015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3" w:rsidRDefault="00936713" w:rsidP="00154462">
      <w:pPr>
        <w:spacing w:after="0" w:line="240" w:lineRule="auto"/>
      </w:pPr>
      <w:r>
        <w:separator/>
      </w:r>
    </w:p>
  </w:footnote>
  <w:footnote w:type="continuationSeparator" w:id="0">
    <w:p w:rsidR="00936713" w:rsidRDefault="00936713" w:rsidP="00154462">
      <w:pPr>
        <w:spacing w:after="0" w:line="240" w:lineRule="auto"/>
      </w:pPr>
      <w:r>
        <w:continuationSeparator/>
      </w:r>
    </w:p>
  </w:footnote>
  <w:footnote w:id="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DEOK on the file. The webpage where the information is available could change.</w:t>
      </w:r>
    </w:p>
  </w:footnote>
  <w:footnote w:id="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DOM on the file. The webpage where the information is available could change.</w:t>
      </w:r>
    </w:p>
  </w:footnote>
  <w:footnote w:id="1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1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PENELEC on the file. The webpage where the information is available could change.</w:t>
      </w:r>
    </w:p>
  </w:footnote>
  <w:footnote w:id="2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PJM publishes the hourly LMP at the following page on its website: http://www.pjm.com/markets-and-operations/energy/day-ahead/lmpda.aspx. The respective LMP prices will be listed as DPL on the file. The webpage where the information is available could change.</w:t>
      </w:r>
    </w:p>
  </w:footnote>
  <w:footnote w:id="2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North East Massachusetts Zone is 4008 and it is notated as ".Z.NEMASSBOST" on the file. The webpage where the information is available could change.</w:t>
      </w:r>
    </w:p>
  </w:footnote>
  <w:footnote w:id="3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3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Maine Zone is 4001 and it is notated as ".Z.MAINE" on the file. The webpage where the information is available could change.</w:t>
      </w:r>
    </w:p>
  </w:footnote>
  <w:footnote w:id="4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4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992311">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ISO-NE publishes the hourly LMP at the following page on its website: http://www.iso-ne.com/isoexpress/web/reports/pricing/-/tree/lmps-da-hourly , or another successor location. The Location ID for Rhode Island is 4005 and it is notated as ".Z.RHODEISLAND" on the file. The webpage where the information is available could change.</w:t>
      </w:r>
    </w:p>
  </w:footnote>
  <w:footnote w:id="5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 xml:space="preserve">As of </w:t>
      </w:r>
      <w:r w:rsidR="00BD0859">
        <w:rPr>
          <w:rFonts w:ascii="Times New Roman" w:hAnsi="Times New Roman" w:cs="Times New Roman"/>
          <w:noProof/>
          <w:sz w:val="24"/>
          <w:szCs w:val="24"/>
          <w:u w:val="single"/>
        </w:rPr>
        <w:t>S</w:t>
      </w:r>
      <w:r w:rsidR="00E91294">
        <w:rPr>
          <w:rFonts w:ascii="Times New Roman" w:hAnsi="Times New Roman" w:cs="Times New Roman"/>
          <w:noProof/>
          <w:sz w:val="24"/>
          <w:szCs w:val="24"/>
          <w:u w:val="single"/>
        </w:rPr>
        <w:t>eptember 27, 2018</w:t>
      </w:r>
      <w:r w:rsidRPr="006D17C0">
        <w:rPr>
          <w:rFonts w:ascii="Times New Roman" w:hAnsi="Times New Roman" w:cs="Times New Roman"/>
          <w:noProof/>
          <w:sz w:val="24"/>
          <w:szCs w:val="24"/>
          <w:u w:val="single"/>
        </w:rPr>
        <w:t>,  ISO-NE publishes the hourly LMP at the following page on its website: http://www.iso-ne.com/isoexpress/web/reports/pricing/-/tree/lmps-da-hourly , or another successor location. The Location ID for New Hampshire is 4002 and it is notated as ".Z.NEWHAMPSHIRE" on the file. The webpage where the information is available could change.</w:t>
      </w:r>
    </w:p>
  </w:footnote>
  <w:footnote w:id="5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5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MICHIGAN.HUB on the file. The web page where the information is available could change.</w:t>
      </w:r>
    </w:p>
  </w:footnote>
  <w:footnote w:id="6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8">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E91294">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69">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C038FA">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0">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AMIL.BGS6 on the file. The web page where the information is available could change.</w:t>
      </w:r>
    </w:p>
  </w:footnote>
  <w:footnote w:id="71">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2">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3">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4">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5">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6">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 w:id="77">
    <w:p w:rsidR="0090792B" w:rsidRPr="006D17C0" w:rsidRDefault="0090792B" w:rsidP="006D17C0">
      <w:pPr>
        <w:pStyle w:val="FootnoteText"/>
        <w:spacing w:after="240"/>
        <w:ind w:left="720" w:hanging="720"/>
        <w:rPr>
          <w:rFonts w:ascii="Times New Roman" w:hAnsi="Times New Roman" w:cs="Times New Roman"/>
          <w:sz w:val="24"/>
          <w:szCs w:val="24"/>
          <w:u w:val="single"/>
        </w:rPr>
      </w:pPr>
      <w:r w:rsidRPr="006D17C0">
        <w:rPr>
          <w:rStyle w:val="FootnoteReference"/>
          <w:rFonts w:ascii="Times New Roman" w:hAnsi="Times New Roman" w:cs="Times New Roman"/>
          <w:sz w:val="24"/>
          <w:szCs w:val="24"/>
          <w:u w:val="single"/>
        </w:rPr>
        <w:footnoteRef/>
      </w:r>
      <w:r w:rsidRPr="006D17C0">
        <w:rPr>
          <w:rFonts w:ascii="Times New Roman" w:hAnsi="Times New Roman" w:cs="Times New Roman"/>
          <w:sz w:val="24"/>
          <w:szCs w:val="24"/>
          <w:u w:val="single"/>
        </w:rPr>
        <w:t xml:space="preserve"> </w:t>
      </w:r>
      <w:r w:rsidRPr="006D17C0">
        <w:rPr>
          <w:rFonts w:ascii="Times New Roman" w:hAnsi="Times New Roman" w:cs="Times New Roman"/>
          <w:sz w:val="24"/>
          <w:szCs w:val="24"/>
          <w:u w:val="single"/>
        </w:rPr>
        <w:tab/>
      </w:r>
      <w:r w:rsidRPr="006D17C0">
        <w:rPr>
          <w:rFonts w:ascii="Times New Roman" w:hAnsi="Times New Roman" w:cs="Times New Roman"/>
          <w:noProof/>
          <w:sz w:val="24"/>
          <w:szCs w:val="24"/>
          <w:u w:val="single"/>
        </w:rPr>
        <w:t>As of September 2</w:t>
      </w:r>
      <w:r w:rsidR="0043511D">
        <w:rPr>
          <w:rFonts w:ascii="Times New Roman" w:hAnsi="Times New Roman" w:cs="Times New Roman"/>
          <w:noProof/>
          <w:sz w:val="24"/>
          <w:szCs w:val="24"/>
          <w:u w:val="single"/>
        </w:rPr>
        <w:t>7</w:t>
      </w:r>
      <w:r w:rsidRPr="006D17C0">
        <w:rPr>
          <w:rFonts w:ascii="Times New Roman" w:hAnsi="Times New Roman" w:cs="Times New Roman"/>
          <w:noProof/>
          <w:sz w:val="24"/>
          <w:szCs w:val="24"/>
          <w:u w:val="single"/>
        </w:rPr>
        <w:t>, 2018, MISO publishes the hourly LMP at the following page on its website: https://www.misoenergy.org/Library/MarketReports/Pages/MarketReports.aspx, The respective LMP prices will be listed as ARKANSAS.HUB on the file. The web page where the information is available could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SR-NFX-2018-44</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Exhibit A</w:t>
    </w:r>
  </w:p>
  <w:p w:rsidR="0090792B" w:rsidRPr="007011C9" w:rsidRDefault="0090792B" w:rsidP="007011C9">
    <w:pPr>
      <w:pStyle w:val="Header"/>
      <w:tabs>
        <w:tab w:val="clear" w:pos="4459"/>
        <w:tab w:val="clear" w:pos="4536"/>
        <w:tab w:val="clear" w:pos="8901"/>
        <w:tab w:val="clear" w:pos="9072"/>
      </w:tabs>
      <w:spacing w:before="0" w:line="240" w:lineRule="auto"/>
      <w:ind w:right="0"/>
      <w:rPr>
        <w:rFonts w:ascii="Times New Roman" w:hAnsi="Times New Roman"/>
        <w:bCs/>
        <w:color w:val="333333"/>
        <w:sz w:val="20"/>
      </w:rPr>
    </w:pPr>
    <w:r w:rsidRPr="007011C9">
      <w:rPr>
        <w:rFonts w:ascii="Times New Roman" w:hAnsi="Times New Roman"/>
        <w:bCs/>
        <w:color w:val="333333"/>
        <w:sz w:val="20"/>
      </w:rPr>
      <w:t xml:space="preserve">Page </w:t>
    </w:r>
    <w:r w:rsidRPr="007011C9">
      <w:rPr>
        <w:rFonts w:ascii="Times New Roman" w:hAnsi="Times New Roman"/>
        <w:bCs/>
        <w:noProof w:val="0"/>
        <w:color w:val="333333"/>
        <w:sz w:val="20"/>
      </w:rPr>
      <w:fldChar w:fldCharType="begin"/>
    </w:r>
    <w:r w:rsidRPr="007011C9">
      <w:rPr>
        <w:rFonts w:ascii="Times New Roman" w:hAnsi="Times New Roman"/>
        <w:bCs/>
        <w:color w:val="333333"/>
        <w:sz w:val="20"/>
      </w:rPr>
      <w:instrText xml:space="preserve"> PAGE   \* MERGEFORMAT </w:instrText>
    </w:r>
    <w:r w:rsidRPr="007011C9">
      <w:rPr>
        <w:rFonts w:ascii="Times New Roman" w:hAnsi="Times New Roman"/>
        <w:bCs/>
        <w:noProof w:val="0"/>
        <w:color w:val="333333"/>
        <w:sz w:val="20"/>
      </w:rPr>
      <w:fldChar w:fldCharType="separate"/>
    </w:r>
    <w:r w:rsidR="00585C17">
      <w:rPr>
        <w:rFonts w:ascii="Times New Roman" w:hAnsi="Times New Roman"/>
        <w:bCs/>
        <w:color w:val="333333"/>
        <w:sz w:val="20"/>
      </w:rPr>
      <w:t>2</w:t>
    </w:r>
    <w:r w:rsidRPr="007011C9">
      <w:rPr>
        <w:rFonts w:ascii="Times New Roman" w:hAnsi="Times New Roman"/>
        <w:bCs/>
        <w:color w:val="333333"/>
        <w:sz w:val="20"/>
      </w:rPr>
      <w:fldChar w:fldCharType="end"/>
    </w:r>
  </w:p>
  <w:p w:rsidR="0090792B" w:rsidRPr="007011C9" w:rsidRDefault="0090792B" w:rsidP="007011C9">
    <w:pPr>
      <w:pStyle w:val="Header"/>
      <w:tabs>
        <w:tab w:val="clear" w:pos="4459"/>
        <w:tab w:val="clear" w:pos="4536"/>
        <w:tab w:val="clear" w:pos="8901"/>
        <w:tab w:val="clear" w:pos="9072"/>
      </w:tabs>
      <w:spacing w:before="0" w:line="240" w:lineRule="auto"/>
      <w:ind w:righ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1">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1">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1">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1">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1">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1">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1">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19"/>
  </w:num>
  <w:num w:numId="18">
    <w:abstractNumId w:val="18"/>
  </w:num>
  <w:num w:numId="19">
    <w:abstractNumId w:val="2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2"/>
    <w:rsid w:val="00014945"/>
    <w:rsid w:val="00016CDC"/>
    <w:rsid w:val="00045F21"/>
    <w:rsid w:val="000B50EA"/>
    <w:rsid w:val="000C372E"/>
    <w:rsid w:val="000F1280"/>
    <w:rsid w:val="00107618"/>
    <w:rsid w:val="0012529D"/>
    <w:rsid w:val="001340DD"/>
    <w:rsid w:val="0015197C"/>
    <w:rsid w:val="00154462"/>
    <w:rsid w:val="00184E95"/>
    <w:rsid w:val="00186224"/>
    <w:rsid w:val="00230133"/>
    <w:rsid w:val="00250777"/>
    <w:rsid w:val="002A6264"/>
    <w:rsid w:val="002B6C81"/>
    <w:rsid w:val="002D26FC"/>
    <w:rsid w:val="002F2964"/>
    <w:rsid w:val="00322266"/>
    <w:rsid w:val="00384CA7"/>
    <w:rsid w:val="00385E01"/>
    <w:rsid w:val="003A0353"/>
    <w:rsid w:val="003B3D3E"/>
    <w:rsid w:val="003D6811"/>
    <w:rsid w:val="0043511D"/>
    <w:rsid w:val="004F2969"/>
    <w:rsid w:val="004F5276"/>
    <w:rsid w:val="004F5B78"/>
    <w:rsid w:val="004F64E6"/>
    <w:rsid w:val="004F717F"/>
    <w:rsid w:val="005041FF"/>
    <w:rsid w:val="00510497"/>
    <w:rsid w:val="00585C17"/>
    <w:rsid w:val="005B30E4"/>
    <w:rsid w:val="005F1CAD"/>
    <w:rsid w:val="00636675"/>
    <w:rsid w:val="0064547B"/>
    <w:rsid w:val="006B4933"/>
    <w:rsid w:val="006D17C0"/>
    <w:rsid w:val="007011C9"/>
    <w:rsid w:val="007055D7"/>
    <w:rsid w:val="00705777"/>
    <w:rsid w:val="007215AE"/>
    <w:rsid w:val="00783359"/>
    <w:rsid w:val="007F3493"/>
    <w:rsid w:val="007F5C08"/>
    <w:rsid w:val="008664FE"/>
    <w:rsid w:val="00893E15"/>
    <w:rsid w:val="008B588E"/>
    <w:rsid w:val="008C3F5C"/>
    <w:rsid w:val="0090792B"/>
    <w:rsid w:val="00935561"/>
    <w:rsid w:val="00936713"/>
    <w:rsid w:val="00992311"/>
    <w:rsid w:val="009D0EAF"/>
    <w:rsid w:val="009D1192"/>
    <w:rsid w:val="00A33019"/>
    <w:rsid w:val="00AB76F5"/>
    <w:rsid w:val="00AD63E2"/>
    <w:rsid w:val="00BA1B46"/>
    <w:rsid w:val="00BD0859"/>
    <w:rsid w:val="00C038FA"/>
    <w:rsid w:val="00C109D5"/>
    <w:rsid w:val="00C1274C"/>
    <w:rsid w:val="00C30ADF"/>
    <w:rsid w:val="00C4068B"/>
    <w:rsid w:val="00C556F5"/>
    <w:rsid w:val="00C56469"/>
    <w:rsid w:val="00CB4B3E"/>
    <w:rsid w:val="00CD65B6"/>
    <w:rsid w:val="00D37306"/>
    <w:rsid w:val="00D93463"/>
    <w:rsid w:val="00DB7F3A"/>
    <w:rsid w:val="00E428E2"/>
    <w:rsid w:val="00E43F9B"/>
    <w:rsid w:val="00E478B7"/>
    <w:rsid w:val="00E50CA2"/>
    <w:rsid w:val="00E511F5"/>
    <w:rsid w:val="00E91294"/>
    <w:rsid w:val="00EA4F65"/>
    <w:rsid w:val="00EF1683"/>
    <w:rsid w:val="00F32D31"/>
    <w:rsid w:val="00F6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11B-8DEF-4490-979E-74E163E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62"/>
    <w:pPr>
      <w:spacing w:after="200" w:line="276" w:lineRule="auto"/>
    </w:pPr>
  </w:style>
  <w:style w:type="paragraph" w:styleId="Heading1">
    <w:name w:val="heading 1"/>
    <w:basedOn w:val="Normal"/>
    <w:next w:val="BodyText"/>
    <w:link w:val="Heading1Char"/>
    <w:qFormat/>
    <w:rsid w:val="0015446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link w:val="Heading2Char"/>
    <w:qFormat/>
    <w:rsid w:val="0015446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link w:val="Heading3Char"/>
    <w:qFormat/>
    <w:rsid w:val="0015446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link w:val="Heading4Char"/>
    <w:qFormat/>
    <w:rsid w:val="0015446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link w:val="Heading5Char"/>
    <w:qFormat/>
    <w:rsid w:val="0015446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462"/>
    <w:rPr>
      <w:rFonts w:ascii="Verdana" w:eastAsia="Times New Roman" w:hAnsi="Verdana" w:cs="Times New Roman"/>
      <w:kern w:val="20"/>
      <w:sz w:val="32"/>
      <w:szCs w:val="20"/>
      <w:lang w:eastAsia="sv-SE"/>
    </w:rPr>
  </w:style>
  <w:style w:type="character" w:customStyle="1" w:styleId="Heading2Char">
    <w:name w:val="Heading 2 Char"/>
    <w:basedOn w:val="DefaultParagraphFont"/>
    <w:link w:val="Heading2"/>
    <w:rsid w:val="00154462"/>
    <w:rPr>
      <w:rFonts w:ascii="Verdana" w:eastAsia="Times New Roman" w:hAnsi="Verdana" w:cs="Times New Roman"/>
      <w:b/>
      <w:kern w:val="20"/>
      <w:szCs w:val="20"/>
      <w:lang w:eastAsia="sv-SE"/>
    </w:rPr>
  </w:style>
  <w:style w:type="character" w:customStyle="1" w:styleId="Heading3Char">
    <w:name w:val="Heading 3 Char"/>
    <w:basedOn w:val="DefaultParagraphFont"/>
    <w:link w:val="Heading3"/>
    <w:rsid w:val="00154462"/>
    <w:rPr>
      <w:rFonts w:ascii="Verdana" w:eastAsia="Times New Roman" w:hAnsi="Verdana" w:cs="Times New Roman"/>
      <w:b/>
      <w:kern w:val="20"/>
      <w:sz w:val="18"/>
      <w:szCs w:val="20"/>
      <w:lang w:eastAsia="sv-SE"/>
    </w:rPr>
  </w:style>
  <w:style w:type="character" w:customStyle="1" w:styleId="Heading4Char">
    <w:name w:val="Heading 4 Char"/>
    <w:basedOn w:val="DefaultParagraphFont"/>
    <w:link w:val="Heading4"/>
    <w:rsid w:val="00154462"/>
    <w:rPr>
      <w:rFonts w:ascii="Verdana" w:eastAsia="Times New Roman" w:hAnsi="Verdana" w:cs="Times New Roman"/>
      <w:kern w:val="20"/>
      <w:sz w:val="18"/>
      <w:szCs w:val="20"/>
      <w:lang w:eastAsia="sv-SE"/>
    </w:rPr>
  </w:style>
  <w:style w:type="character" w:customStyle="1" w:styleId="Heading5Char">
    <w:name w:val="Heading 5 Char"/>
    <w:basedOn w:val="DefaultParagraphFont"/>
    <w:link w:val="Heading5"/>
    <w:rsid w:val="00154462"/>
    <w:rPr>
      <w:rFonts w:ascii="Verdana" w:eastAsia="Times New Roman" w:hAnsi="Verdana" w:cs="Times New Roman"/>
      <w:i/>
      <w:kern w:val="20"/>
      <w:sz w:val="16"/>
      <w:szCs w:val="20"/>
      <w:lang w:eastAsia="sv-SE"/>
    </w:rPr>
  </w:style>
  <w:style w:type="paragraph" w:customStyle="1" w:styleId="Noparagraphstyle">
    <w:name w:val="[No paragraph style]"/>
    <w:rsid w:val="00154462"/>
    <w:pPr>
      <w:autoSpaceDE w:val="0"/>
      <w:autoSpaceDN w:val="0"/>
      <w:adjustRightInd w:val="0"/>
      <w:spacing w:after="0" w:line="288" w:lineRule="auto"/>
      <w:textAlignment w:val="center"/>
    </w:pPr>
    <w:rPr>
      <w:rFonts w:ascii="Times New Roman" w:eastAsia="Times New Roman" w:hAnsi="Times New Roman" w:cs="Times New Roman"/>
      <w:color w:val="000000"/>
      <w:sz w:val="24"/>
      <w:szCs w:val="20"/>
      <w:lang w:eastAsia="sv-SE"/>
    </w:rPr>
  </w:style>
  <w:style w:type="paragraph" w:styleId="BodyText">
    <w:name w:val="Body Text"/>
    <w:basedOn w:val="Normal"/>
    <w:link w:val="BodyTextChar"/>
    <w:rsid w:val="00154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customStyle="1" w:styleId="BodyTextChar">
    <w:name w:val="Body Text Char"/>
    <w:basedOn w:val="DefaultParagraphFont"/>
    <w:link w:val="BodyText"/>
    <w:rsid w:val="00154462"/>
    <w:rPr>
      <w:rFonts w:ascii="Arial Narrow" w:eastAsia="Times New Roman" w:hAnsi="Arial Narrow" w:cs="Times New Roman"/>
      <w:szCs w:val="20"/>
      <w:lang w:eastAsia="sv-SE"/>
    </w:rPr>
  </w:style>
  <w:style w:type="character" w:styleId="Hyperlink">
    <w:name w:val="Hyperlink"/>
    <w:basedOn w:val="DefaultParagraphFont"/>
    <w:uiPriority w:val="99"/>
    <w:rsid w:val="00154462"/>
    <w:rPr>
      <w:color w:val="808080"/>
      <w:spacing w:val="0"/>
      <w:u w:val="single"/>
    </w:rPr>
  </w:style>
  <w:style w:type="paragraph" w:customStyle="1" w:styleId="ImageText">
    <w:name w:val="Image Text"/>
    <w:basedOn w:val="BodyText"/>
    <w:rsid w:val="00154462"/>
    <w:pPr>
      <w:keepNext/>
      <w:spacing w:after="60" w:line="200" w:lineRule="exact"/>
    </w:pPr>
    <w:rPr>
      <w:rFonts w:ascii="Verdana" w:hAnsi="Verdana"/>
      <w:sz w:val="16"/>
    </w:rPr>
  </w:style>
  <w:style w:type="paragraph" w:styleId="Index1">
    <w:name w:val="index 1"/>
    <w:basedOn w:val="Normal"/>
    <w:next w:val="Normal"/>
    <w:autoRedefine/>
    <w:semiHidden/>
    <w:rsid w:val="0015446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15446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15446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15446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15446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154462"/>
  </w:style>
  <w:style w:type="paragraph" w:styleId="TOC1">
    <w:name w:val="toc 1"/>
    <w:basedOn w:val="Normal"/>
    <w:next w:val="Normal"/>
    <w:autoRedefine/>
    <w:semiHidden/>
    <w:rsid w:val="0015446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154462"/>
    <w:pPr>
      <w:ind w:left="220"/>
    </w:pPr>
  </w:style>
  <w:style w:type="paragraph" w:styleId="TOC3">
    <w:name w:val="toc 3"/>
    <w:basedOn w:val="TOC1"/>
    <w:next w:val="Normal"/>
    <w:autoRedefine/>
    <w:semiHidden/>
    <w:rsid w:val="00154462"/>
    <w:pPr>
      <w:ind w:left="440"/>
    </w:pPr>
    <w:rPr>
      <w:sz w:val="16"/>
    </w:rPr>
  </w:style>
  <w:style w:type="paragraph" w:styleId="TOC4">
    <w:name w:val="toc 4"/>
    <w:basedOn w:val="TOC1"/>
    <w:next w:val="Normal"/>
    <w:autoRedefine/>
    <w:semiHidden/>
    <w:rsid w:val="00154462"/>
    <w:pPr>
      <w:ind w:left="660"/>
    </w:pPr>
    <w:rPr>
      <w:sz w:val="16"/>
    </w:rPr>
  </w:style>
  <w:style w:type="paragraph" w:styleId="TOC5">
    <w:name w:val="toc 5"/>
    <w:basedOn w:val="TOC1"/>
    <w:next w:val="Normal"/>
    <w:autoRedefine/>
    <w:semiHidden/>
    <w:rsid w:val="00154462"/>
    <w:pPr>
      <w:ind w:left="880"/>
    </w:pPr>
    <w:rPr>
      <w:sz w:val="16"/>
    </w:rPr>
  </w:style>
  <w:style w:type="paragraph" w:styleId="TOC6">
    <w:name w:val="toc 6"/>
    <w:basedOn w:val="TOC1"/>
    <w:next w:val="Normal"/>
    <w:autoRedefine/>
    <w:semiHidden/>
    <w:rsid w:val="00154462"/>
    <w:pPr>
      <w:ind w:left="1100"/>
    </w:pPr>
    <w:rPr>
      <w:sz w:val="16"/>
    </w:rPr>
  </w:style>
  <w:style w:type="paragraph" w:styleId="TOC7">
    <w:name w:val="toc 7"/>
    <w:basedOn w:val="TOC1"/>
    <w:next w:val="Normal"/>
    <w:autoRedefine/>
    <w:semiHidden/>
    <w:rsid w:val="00154462"/>
    <w:pPr>
      <w:ind w:left="1320"/>
    </w:pPr>
    <w:rPr>
      <w:sz w:val="16"/>
    </w:rPr>
  </w:style>
  <w:style w:type="paragraph" w:styleId="TOC8">
    <w:name w:val="toc 8"/>
    <w:basedOn w:val="TOC1"/>
    <w:next w:val="Normal"/>
    <w:autoRedefine/>
    <w:semiHidden/>
    <w:rsid w:val="00154462"/>
    <w:pPr>
      <w:ind w:left="1540"/>
    </w:pPr>
    <w:rPr>
      <w:sz w:val="16"/>
    </w:rPr>
  </w:style>
  <w:style w:type="paragraph" w:styleId="TOC9">
    <w:name w:val="toc 9"/>
    <w:basedOn w:val="TOC1"/>
    <w:next w:val="Normal"/>
    <w:autoRedefine/>
    <w:semiHidden/>
    <w:rsid w:val="00154462"/>
    <w:pPr>
      <w:ind w:left="1760"/>
    </w:pPr>
    <w:rPr>
      <w:sz w:val="16"/>
    </w:rPr>
  </w:style>
  <w:style w:type="paragraph" w:styleId="ListNumber">
    <w:name w:val="List Number"/>
    <w:basedOn w:val="BodyText"/>
    <w:rsid w:val="00154462"/>
    <w:pPr>
      <w:numPr>
        <w:numId w:val="4"/>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154462"/>
    <w:pPr>
      <w:numPr>
        <w:numId w:val="17"/>
      </w:numPr>
      <w:tabs>
        <w:tab w:val="clear" w:pos="113"/>
        <w:tab w:val="num" w:pos="195"/>
      </w:tabs>
      <w:ind w:left="195" w:hanging="195"/>
    </w:pPr>
  </w:style>
  <w:style w:type="paragraph" w:styleId="Footer">
    <w:name w:val="footer"/>
    <w:basedOn w:val="Normal"/>
    <w:link w:val="FooterChar"/>
    <w:rsid w:val="00154462"/>
    <w:pPr>
      <w:tabs>
        <w:tab w:val="center" w:pos="4459"/>
        <w:tab w:val="right" w:pos="8901"/>
      </w:tabs>
      <w:spacing w:before="240" w:after="0" w:line="260" w:lineRule="atLeast"/>
    </w:pPr>
    <w:rPr>
      <w:rFonts w:ascii="Arial Narrow" w:eastAsia="Times New Roman" w:hAnsi="Arial Narrow" w:cs="Times New Roman"/>
      <w:szCs w:val="20"/>
      <w:lang w:eastAsia="sv-SE"/>
    </w:rPr>
  </w:style>
  <w:style w:type="character" w:customStyle="1" w:styleId="FooterChar">
    <w:name w:val="Footer Char"/>
    <w:basedOn w:val="DefaultParagraphFont"/>
    <w:link w:val="Footer"/>
    <w:rsid w:val="00154462"/>
    <w:rPr>
      <w:rFonts w:ascii="Arial Narrow" w:eastAsia="Times New Roman" w:hAnsi="Arial Narrow" w:cs="Times New Roman"/>
      <w:szCs w:val="20"/>
      <w:lang w:eastAsia="sv-SE"/>
    </w:rPr>
  </w:style>
  <w:style w:type="paragraph" w:styleId="Header">
    <w:name w:val="header"/>
    <w:basedOn w:val="Footer"/>
    <w:link w:val="HeaderChar"/>
    <w:rsid w:val="00154462"/>
    <w:pPr>
      <w:tabs>
        <w:tab w:val="center" w:pos="4536"/>
        <w:tab w:val="right" w:pos="9072"/>
      </w:tabs>
      <w:ind w:right="1134"/>
    </w:pPr>
    <w:rPr>
      <w:noProof/>
    </w:rPr>
  </w:style>
  <w:style w:type="character" w:customStyle="1" w:styleId="HeaderChar">
    <w:name w:val="Header Char"/>
    <w:basedOn w:val="DefaultParagraphFont"/>
    <w:link w:val="Header"/>
    <w:rsid w:val="00154462"/>
    <w:rPr>
      <w:rFonts w:ascii="Arial Narrow" w:eastAsia="Times New Roman" w:hAnsi="Arial Narrow" w:cs="Times New Roman"/>
      <w:noProof/>
      <w:szCs w:val="20"/>
      <w:lang w:eastAsia="sv-SE"/>
    </w:rPr>
  </w:style>
  <w:style w:type="character" w:styleId="PageNumber">
    <w:name w:val="page number"/>
    <w:basedOn w:val="DefaultParagraphFont"/>
    <w:rsid w:val="0015446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154462"/>
    <w:pPr>
      <w:spacing w:before="240" w:after="120" w:line="200" w:lineRule="exact"/>
    </w:pPr>
    <w:rPr>
      <w:rFonts w:ascii="Verdana" w:eastAsia="Times New Roman" w:hAnsi="Verdana" w:cs="Times New Roman"/>
      <w:caps/>
      <w:sz w:val="16"/>
      <w:szCs w:val="20"/>
      <w:lang w:eastAsia="sv-SE"/>
    </w:rPr>
  </w:style>
  <w:style w:type="paragraph" w:customStyle="1" w:styleId="TableBodytext">
    <w:name w:val="Table Bodytext"/>
    <w:basedOn w:val="TableHeading1"/>
    <w:rsid w:val="00154462"/>
    <w:pPr>
      <w:spacing w:before="0" w:after="40"/>
    </w:pPr>
    <w:rPr>
      <w:caps w:val="0"/>
    </w:rPr>
  </w:style>
  <w:style w:type="paragraph" w:customStyle="1" w:styleId="TableNumberlist">
    <w:name w:val="Table Numberlist"/>
    <w:basedOn w:val="Normal"/>
    <w:rsid w:val="00154462"/>
    <w:pPr>
      <w:numPr>
        <w:numId w:val="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154462"/>
    <w:pPr>
      <w:numPr>
        <w:numId w:val="2"/>
      </w:numPr>
      <w:tabs>
        <w:tab w:val="clear" w:pos="308"/>
        <w:tab w:val="clear" w:pos="360"/>
      </w:tabs>
      <w:ind w:left="308" w:hanging="294"/>
    </w:pPr>
  </w:style>
  <w:style w:type="paragraph" w:customStyle="1" w:styleId="TableFooter">
    <w:name w:val="Table Footer"/>
    <w:basedOn w:val="BodyText"/>
    <w:rsid w:val="00154462"/>
    <w:pPr>
      <w:spacing w:before="120" w:line="180" w:lineRule="exact"/>
    </w:pPr>
    <w:rPr>
      <w:rFonts w:ascii="Verdana" w:eastAsia="MS Mincho" w:hAnsi="Verdana"/>
      <w:sz w:val="16"/>
    </w:rPr>
  </w:style>
  <w:style w:type="paragraph" w:customStyle="1" w:styleId="TableHeading2">
    <w:name w:val="Table Heading2"/>
    <w:basedOn w:val="TableHeading1"/>
    <w:rsid w:val="00154462"/>
    <w:pPr>
      <w:spacing w:before="120" w:after="60" w:line="180" w:lineRule="exact"/>
    </w:pPr>
    <w:rPr>
      <w:sz w:val="14"/>
    </w:rPr>
  </w:style>
  <w:style w:type="paragraph" w:styleId="BalloonText">
    <w:name w:val="Balloon Text"/>
    <w:basedOn w:val="Normal"/>
    <w:link w:val="BalloonTextChar"/>
    <w:rsid w:val="00154462"/>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154462"/>
    <w:rPr>
      <w:rFonts w:ascii="Lucida Grande" w:eastAsia="Times New Roman" w:hAnsi="Lucida Grande" w:cs="Lucida Grande"/>
      <w:sz w:val="18"/>
      <w:szCs w:val="18"/>
      <w:lang w:eastAsia="sv-SE"/>
    </w:rPr>
  </w:style>
  <w:style w:type="paragraph" w:styleId="NoSpacing">
    <w:name w:val="No Spacing"/>
    <w:uiPriority w:val="1"/>
    <w:qFormat/>
    <w:rsid w:val="00154462"/>
    <w:pPr>
      <w:spacing w:after="0" w:line="240" w:lineRule="auto"/>
    </w:pPr>
  </w:style>
  <w:style w:type="paragraph" w:styleId="NormalWeb">
    <w:name w:val="Normal (Web)"/>
    <w:basedOn w:val="Normal"/>
    <w:uiPriority w:val="99"/>
    <w:unhideWhenUsed/>
    <w:rsid w:val="00154462"/>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154462"/>
    <w:pPr>
      <w:ind w:left="720"/>
      <w:contextualSpacing/>
    </w:pPr>
  </w:style>
  <w:style w:type="paragraph" w:styleId="PlainText">
    <w:name w:val="Plain Text"/>
    <w:basedOn w:val="Normal"/>
    <w:link w:val="PlainTextChar"/>
    <w:uiPriority w:val="99"/>
    <w:rsid w:val="001544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54462"/>
    <w:rPr>
      <w:rFonts w:ascii="Calibri" w:hAnsi="Calibri" w:cs="Times New Roman"/>
    </w:rPr>
  </w:style>
  <w:style w:type="table" w:styleId="TableGrid">
    <w:name w:val="Table Grid"/>
    <w:basedOn w:val="TableNormal"/>
    <w:uiPriority w:val="59"/>
    <w:rsid w:val="001544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4462"/>
    <w:pPr>
      <w:spacing w:after="0" w:line="240" w:lineRule="auto"/>
    </w:pPr>
    <w:rPr>
      <w:sz w:val="20"/>
      <w:szCs w:val="20"/>
    </w:rPr>
  </w:style>
  <w:style w:type="character" w:customStyle="1" w:styleId="FootnoteTextChar">
    <w:name w:val="Footnote Text Char"/>
    <w:basedOn w:val="DefaultParagraphFont"/>
    <w:link w:val="FootnoteText"/>
    <w:rsid w:val="00154462"/>
    <w:rPr>
      <w:sz w:val="20"/>
      <w:szCs w:val="20"/>
    </w:rPr>
  </w:style>
  <w:style w:type="character" w:styleId="FootnoteReference">
    <w:name w:val="footnote reference"/>
    <w:basedOn w:val="DefaultParagraphFont"/>
    <w:rsid w:val="00154462"/>
    <w:rPr>
      <w:vertAlign w:val="superscript"/>
    </w:rPr>
  </w:style>
  <w:style w:type="character" w:styleId="CommentReference">
    <w:name w:val="annotation reference"/>
    <w:basedOn w:val="DefaultParagraphFont"/>
    <w:rsid w:val="00154462"/>
    <w:rPr>
      <w:sz w:val="16"/>
      <w:szCs w:val="16"/>
    </w:rPr>
  </w:style>
  <w:style w:type="paragraph" w:styleId="CommentText">
    <w:name w:val="annotation text"/>
    <w:basedOn w:val="Normal"/>
    <w:link w:val="CommentTextChar"/>
    <w:rsid w:val="00154462"/>
    <w:pPr>
      <w:spacing w:line="240" w:lineRule="auto"/>
    </w:pPr>
    <w:rPr>
      <w:sz w:val="20"/>
      <w:szCs w:val="20"/>
    </w:rPr>
  </w:style>
  <w:style w:type="character" w:customStyle="1" w:styleId="CommentTextChar">
    <w:name w:val="Comment Text Char"/>
    <w:basedOn w:val="DefaultParagraphFont"/>
    <w:link w:val="CommentText"/>
    <w:rsid w:val="00154462"/>
    <w:rPr>
      <w:sz w:val="20"/>
      <w:szCs w:val="20"/>
    </w:rPr>
  </w:style>
  <w:style w:type="paragraph" w:styleId="CommentSubject">
    <w:name w:val="annotation subject"/>
    <w:basedOn w:val="CommentText"/>
    <w:next w:val="CommentText"/>
    <w:link w:val="CommentSubjectChar"/>
    <w:rsid w:val="00154462"/>
    <w:rPr>
      <w:b/>
      <w:bCs/>
    </w:rPr>
  </w:style>
  <w:style w:type="character" w:customStyle="1" w:styleId="CommentSubjectChar">
    <w:name w:val="Comment Subject Char"/>
    <w:basedOn w:val="CommentTextChar"/>
    <w:link w:val="CommentSubject"/>
    <w:rsid w:val="00154462"/>
    <w:rPr>
      <w:b/>
      <w:bCs/>
      <w:sz w:val="20"/>
      <w:szCs w:val="20"/>
    </w:rPr>
  </w:style>
  <w:style w:type="paragraph" w:customStyle="1" w:styleId="LetterheadAddress">
    <w:name w:val="Letterhead Address"/>
    <w:basedOn w:val="Normal"/>
    <w:qFormat/>
    <w:rsid w:val="00154462"/>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1544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154462"/>
    <w:pPr>
      <w:spacing w:after="0" w:line="240" w:lineRule="auto"/>
    </w:pPr>
  </w:style>
  <w:style w:type="paragraph" w:customStyle="1" w:styleId="ol-1">
    <w:name w:val="ol-1"/>
    <w:basedOn w:val="Normal"/>
    <w:uiPriority w:val="99"/>
    <w:rsid w:val="0015446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1544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720">
      <w:bodyDiv w:val="1"/>
      <w:marLeft w:val="0"/>
      <w:marRight w:val="0"/>
      <w:marTop w:val="0"/>
      <w:marBottom w:val="0"/>
      <w:divBdr>
        <w:top w:val="none" w:sz="0" w:space="0" w:color="auto"/>
        <w:left w:val="none" w:sz="0" w:space="0" w:color="auto"/>
        <w:bottom w:val="none" w:sz="0" w:space="0" w:color="auto"/>
        <w:right w:val="none" w:sz="0" w:space="0" w:color="auto"/>
      </w:divBdr>
    </w:div>
    <w:div w:id="159078028">
      <w:bodyDiv w:val="1"/>
      <w:marLeft w:val="0"/>
      <w:marRight w:val="0"/>
      <w:marTop w:val="0"/>
      <w:marBottom w:val="0"/>
      <w:divBdr>
        <w:top w:val="none" w:sz="0" w:space="0" w:color="auto"/>
        <w:left w:val="none" w:sz="0" w:space="0" w:color="auto"/>
        <w:bottom w:val="none" w:sz="0" w:space="0" w:color="auto"/>
        <w:right w:val="none" w:sz="0" w:space="0" w:color="auto"/>
      </w:divBdr>
    </w:div>
    <w:div w:id="295259424">
      <w:bodyDiv w:val="1"/>
      <w:marLeft w:val="0"/>
      <w:marRight w:val="0"/>
      <w:marTop w:val="0"/>
      <w:marBottom w:val="0"/>
      <w:divBdr>
        <w:top w:val="none" w:sz="0" w:space="0" w:color="auto"/>
        <w:left w:val="none" w:sz="0" w:space="0" w:color="auto"/>
        <w:bottom w:val="none" w:sz="0" w:space="0" w:color="auto"/>
        <w:right w:val="none" w:sz="0" w:space="0" w:color="auto"/>
      </w:divBdr>
    </w:div>
    <w:div w:id="371077656">
      <w:bodyDiv w:val="1"/>
      <w:marLeft w:val="0"/>
      <w:marRight w:val="0"/>
      <w:marTop w:val="0"/>
      <w:marBottom w:val="0"/>
      <w:divBdr>
        <w:top w:val="none" w:sz="0" w:space="0" w:color="auto"/>
        <w:left w:val="none" w:sz="0" w:space="0" w:color="auto"/>
        <w:bottom w:val="none" w:sz="0" w:space="0" w:color="auto"/>
        <w:right w:val="none" w:sz="0" w:space="0" w:color="auto"/>
      </w:divBdr>
    </w:div>
    <w:div w:id="440417792">
      <w:bodyDiv w:val="1"/>
      <w:marLeft w:val="0"/>
      <w:marRight w:val="0"/>
      <w:marTop w:val="0"/>
      <w:marBottom w:val="0"/>
      <w:divBdr>
        <w:top w:val="none" w:sz="0" w:space="0" w:color="auto"/>
        <w:left w:val="none" w:sz="0" w:space="0" w:color="auto"/>
        <w:bottom w:val="none" w:sz="0" w:space="0" w:color="auto"/>
        <w:right w:val="none" w:sz="0" w:space="0" w:color="auto"/>
      </w:divBdr>
    </w:div>
    <w:div w:id="590505649">
      <w:bodyDiv w:val="1"/>
      <w:marLeft w:val="0"/>
      <w:marRight w:val="0"/>
      <w:marTop w:val="0"/>
      <w:marBottom w:val="0"/>
      <w:divBdr>
        <w:top w:val="none" w:sz="0" w:space="0" w:color="auto"/>
        <w:left w:val="none" w:sz="0" w:space="0" w:color="auto"/>
        <w:bottom w:val="none" w:sz="0" w:space="0" w:color="auto"/>
        <w:right w:val="none" w:sz="0" w:space="0" w:color="auto"/>
      </w:divBdr>
    </w:div>
    <w:div w:id="593560136">
      <w:bodyDiv w:val="1"/>
      <w:marLeft w:val="0"/>
      <w:marRight w:val="0"/>
      <w:marTop w:val="0"/>
      <w:marBottom w:val="0"/>
      <w:divBdr>
        <w:top w:val="none" w:sz="0" w:space="0" w:color="auto"/>
        <w:left w:val="none" w:sz="0" w:space="0" w:color="auto"/>
        <w:bottom w:val="none" w:sz="0" w:space="0" w:color="auto"/>
        <w:right w:val="none" w:sz="0" w:space="0" w:color="auto"/>
      </w:divBdr>
    </w:div>
    <w:div w:id="928928242">
      <w:bodyDiv w:val="1"/>
      <w:marLeft w:val="0"/>
      <w:marRight w:val="0"/>
      <w:marTop w:val="0"/>
      <w:marBottom w:val="0"/>
      <w:divBdr>
        <w:top w:val="none" w:sz="0" w:space="0" w:color="auto"/>
        <w:left w:val="none" w:sz="0" w:space="0" w:color="auto"/>
        <w:bottom w:val="none" w:sz="0" w:space="0" w:color="auto"/>
        <w:right w:val="none" w:sz="0" w:space="0" w:color="auto"/>
      </w:divBdr>
    </w:div>
    <w:div w:id="939216765">
      <w:bodyDiv w:val="1"/>
      <w:marLeft w:val="0"/>
      <w:marRight w:val="0"/>
      <w:marTop w:val="0"/>
      <w:marBottom w:val="0"/>
      <w:divBdr>
        <w:top w:val="none" w:sz="0" w:space="0" w:color="auto"/>
        <w:left w:val="none" w:sz="0" w:space="0" w:color="auto"/>
        <w:bottom w:val="none" w:sz="0" w:space="0" w:color="auto"/>
        <w:right w:val="none" w:sz="0" w:space="0" w:color="auto"/>
      </w:divBdr>
    </w:div>
    <w:div w:id="1125076343">
      <w:bodyDiv w:val="1"/>
      <w:marLeft w:val="0"/>
      <w:marRight w:val="0"/>
      <w:marTop w:val="0"/>
      <w:marBottom w:val="0"/>
      <w:divBdr>
        <w:top w:val="none" w:sz="0" w:space="0" w:color="auto"/>
        <w:left w:val="none" w:sz="0" w:space="0" w:color="auto"/>
        <w:bottom w:val="none" w:sz="0" w:space="0" w:color="auto"/>
        <w:right w:val="none" w:sz="0" w:space="0" w:color="auto"/>
      </w:divBdr>
    </w:div>
    <w:div w:id="1323004014">
      <w:bodyDiv w:val="1"/>
      <w:marLeft w:val="0"/>
      <w:marRight w:val="0"/>
      <w:marTop w:val="0"/>
      <w:marBottom w:val="0"/>
      <w:divBdr>
        <w:top w:val="none" w:sz="0" w:space="0" w:color="auto"/>
        <w:left w:val="none" w:sz="0" w:space="0" w:color="auto"/>
        <w:bottom w:val="none" w:sz="0" w:space="0" w:color="auto"/>
        <w:right w:val="none" w:sz="0" w:space="0" w:color="auto"/>
      </w:divBdr>
    </w:div>
    <w:div w:id="1405907817">
      <w:bodyDiv w:val="1"/>
      <w:marLeft w:val="0"/>
      <w:marRight w:val="0"/>
      <w:marTop w:val="0"/>
      <w:marBottom w:val="0"/>
      <w:divBdr>
        <w:top w:val="none" w:sz="0" w:space="0" w:color="auto"/>
        <w:left w:val="none" w:sz="0" w:space="0" w:color="auto"/>
        <w:bottom w:val="none" w:sz="0" w:space="0" w:color="auto"/>
        <w:right w:val="none" w:sz="0" w:space="0" w:color="auto"/>
      </w:divBdr>
    </w:div>
    <w:div w:id="16473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555a533c-9077-4efb-aa76-242e7b390830</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2018-10-04T16:53:10+00:00</Document_x0020_Date>
    <Document_x0020_No xmlns="4b47aac5-4c46-444f-8595-ce09b406fc61">42124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58465F8F-98C1-41C8-BB28-9E7753FC9CCD}"/>
</file>

<file path=customXml/itemProps2.xml><?xml version="1.0" encoding="utf-8"?>
<ds:datastoreItem xmlns:ds="http://schemas.openxmlformats.org/officeDocument/2006/customXml" ds:itemID="{9A633595-7C09-4C7D-AF6E-5B89F9437A5A}"/>
</file>

<file path=customXml/itemProps3.xml><?xml version="1.0" encoding="utf-8"?>
<ds:datastoreItem xmlns:ds="http://schemas.openxmlformats.org/officeDocument/2006/customXml" ds:itemID="{79B7EFD1-6F8D-4B79-B865-2C63F61112E4}"/>
</file>

<file path=customXml/itemProps4.xml><?xml version="1.0" encoding="utf-8"?>
<ds:datastoreItem xmlns:ds="http://schemas.openxmlformats.org/officeDocument/2006/customXml" ds:itemID="{B159CA32-1A6E-4124-9E1A-5A7682D48E25}"/>
</file>

<file path=customXml/itemProps5.xml><?xml version="1.0" encoding="utf-8"?>
<ds:datastoreItem xmlns:ds="http://schemas.openxmlformats.org/officeDocument/2006/customXml" ds:itemID="{165A5258-9820-4350-B3FB-BD2250531FF5}"/>
</file>

<file path=docProps/app.xml><?xml version="1.0" encoding="utf-8"?>
<Properties xmlns="http://schemas.openxmlformats.org/officeDocument/2006/extended-properties" xmlns:vt="http://schemas.openxmlformats.org/officeDocument/2006/docPropsVTypes">
  <Template>Normal</Template>
  <TotalTime>0</TotalTime>
  <Pages>1</Pages>
  <Words>51994</Words>
  <Characters>296370</Characters>
  <Application>Microsoft Office Word</Application>
  <DocSecurity>0</DocSecurity>
  <Lines>2469</Lines>
  <Paragraphs>695</Paragraphs>
  <ScaleCrop>false</ScaleCrop>
  <HeadingPairs>
    <vt:vector size="2" baseType="variant">
      <vt:variant>
        <vt:lpstr>Title</vt:lpstr>
      </vt:variant>
      <vt:variant>
        <vt:i4>1</vt:i4>
      </vt:variant>
    </vt:vector>
  </HeadingPairs>
  <TitlesOfParts>
    <vt:vector size="1" baseType="lpstr">
      <vt:lpstr/>
    </vt:vector>
  </TitlesOfParts>
  <Company>Nasdaq Omx Inc.</Company>
  <LinksUpToDate>false</LinksUpToDate>
  <CharactersWithSpaces>347669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Aravind Menon</dc:creator>
  <cp:lastModifiedBy>Aravind Menon</cp:lastModifiedBy>
  <cp:revision>3</cp:revision>
  <dcterms:created xsi:type="dcterms:W3CDTF">2018-09-26T14:07:00Z</dcterms:created>
  <dcterms:modified xsi:type="dcterms:W3CDTF">2018-09-26T14:08:00Z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5991300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