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B0925" w14:textId="77777777" w:rsidR="0008423C" w:rsidRPr="000B7359" w:rsidRDefault="0008423C" w:rsidP="0008423C">
      <w:pPr>
        <w:pStyle w:val="NoSpacing"/>
        <w:ind w:left="2620" w:firstLine="1310"/>
        <w:rPr>
          <w:rFonts w:ascii="Times New Roman" w:eastAsia="Calibri" w:hAnsi="Times New Roman" w:cs="Times New Roman"/>
          <w:b/>
          <w:bCs/>
          <w:sz w:val="24"/>
          <w:szCs w:val="24"/>
        </w:rPr>
      </w:pPr>
      <w:bookmarkStart w:id="0" w:name="_GoBack"/>
      <w:bookmarkEnd w:id="0"/>
      <w:r w:rsidRPr="000B7359">
        <w:rPr>
          <w:rFonts w:ascii="Times New Roman" w:eastAsia="Calibri" w:hAnsi="Times New Roman" w:cs="Times New Roman"/>
          <w:b/>
          <w:bCs/>
          <w:color w:val="333333"/>
          <w:sz w:val="24"/>
          <w:szCs w:val="24"/>
        </w:rPr>
        <w:t>Rule Self-Certification</w:t>
      </w:r>
    </w:p>
    <w:p w14:paraId="347B0926" w14:textId="77777777" w:rsidR="0008423C" w:rsidRPr="000B7359" w:rsidRDefault="0008423C" w:rsidP="0008423C">
      <w:pPr>
        <w:pStyle w:val="NoSpacing"/>
        <w:rPr>
          <w:rFonts w:ascii="Times New Roman" w:eastAsia="Calibri" w:hAnsi="Times New Roman" w:cs="Times New Roman"/>
          <w:sz w:val="24"/>
          <w:szCs w:val="24"/>
          <w:u w:val="single"/>
        </w:rPr>
      </w:pPr>
    </w:p>
    <w:p w14:paraId="347B0927" w14:textId="77777777" w:rsidR="0008423C" w:rsidRPr="000B7359" w:rsidRDefault="0008423C" w:rsidP="0008423C">
      <w:pPr>
        <w:pStyle w:val="NoSpacing"/>
        <w:rPr>
          <w:rFonts w:ascii="Times New Roman" w:hAnsi="Times New Roman" w:cs="Times New Roman"/>
          <w:sz w:val="24"/>
          <w:szCs w:val="24"/>
        </w:rPr>
      </w:pPr>
    </w:p>
    <w:p w14:paraId="347B0928" w14:textId="25E3E85F" w:rsidR="0008423C" w:rsidRPr="000B7359" w:rsidRDefault="00B53FAF" w:rsidP="0008423C">
      <w:pPr>
        <w:pStyle w:val="NoSpacing"/>
        <w:rPr>
          <w:rFonts w:ascii="Times New Roman" w:eastAsia="Calibri" w:hAnsi="Times New Roman" w:cs="Times New Roman"/>
          <w:sz w:val="24"/>
          <w:szCs w:val="24"/>
        </w:rPr>
      </w:pPr>
      <w:r w:rsidRPr="000B7359">
        <w:rPr>
          <w:rFonts w:ascii="Times New Roman" w:eastAsia="Calibri" w:hAnsi="Times New Roman" w:cs="Times New Roman"/>
          <w:sz w:val="24"/>
          <w:szCs w:val="24"/>
        </w:rPr>
        <w:fldChar w:fldCharType="begin"/>
      </w:r>
      <w:r w:rsidRPr="000B7359">
        <w:rPr>
          <w:rFonts w:ascii="Times New Roman" w:eastAsia="Calibri" w:hAnsi="Times New Roman" w:cs="Times New Roman"/>
          <w:sz w:val="24"/>
          <w:szCs w:val="24"/>
        </w:rPr>
        <w:instrText xml:space="preserve"> DATE \@ "MMMM d, yyyy" </w:instrText>
      </w:r>
      <w:r w:rsidRPr="000B7359">
        <w:rPr>
          <w:rFonts w:ascii="Times New Roman" w:eastAsia="Calibri" w:hAnsi="Times New Roman" w:cs="Times New Roman"/>
          <w:sz w:val="24"/>
          <w:szCs w:val="24"/>
        </w:rPr>
        <w:fldChar w:fldCharType="separate"/>
      </w:r>
      <w:r w:rsidR="00830770">
        <w:rPr>
          <w:rFonts w:ascii="Times New Roman" w:eastAsia="Calibri" w:hAnsi="Times New Roman" w:cs="Times New Roman"/>
          <w:noProof/>
          <w:sz w:val="24"/>
          <w:szCs w:val="24"/>
        </w:rPr>
        <w:t>October 11, 2017</w:t>
      </w:r>
      <w:r w:rsidRPr="000B7359">
        <w:rPr>
          <w:rFonts w:ascii="Times New Roman" w:eastAsia="Calibri" w:hAnsi="Times New Roman" w:cs="Times New Roman"/>
          <w:sz w:val="24"/>
          <w:szCs w:val="24"/>
        </w:rPr>
        <w:fldChar w:fldCharType="end"/>
      </w:r>
    </w:p>
    <w:p w14:paraId="347B0929" w14:textId="77777777" w:rsidR="0008423C" w:rsidRPr="000B7359" w:rsidRDefault="0008423C" w:rsidP="0008423C">
      <w:pPr>
        <w:pStyle w:val="NoSpacing"/>
        <w:rPr>
          <w:rFonts w:ascii="Times New Roman" w:eastAsia="Calibri" w:hAnsi="Times New Roman" w:cs="Times New Roman"/>
          <w:sz w:val="24"/>
          <w:szCs w:val="24"/>
        </w:rPr>
      </w:pPr>
    </w:p>
    <w:p w14:paraId="347B092A" w14:textId="77777777" w:rsidR="0008423C" w:rsidRPr="000B7359" w:rsidRDefault="0008423C" w:rsidP="0008423C">
      <w:pPr>
        <w:pStyle w:val="NoSpacing"/>
        <w:rPr>
          <w:rFonts w:ascii="Times New Roman" w:eastAsia="Calibri" w:hAnsi="Times New Roman" w:cs="Times New Roman"/>
          <w:sz w:val="24"/>
          <w:szCs w:val="24"/>
        </w:rPr>
      </w:pPr>
      <w:r w:rsidRPr="000B7359">
        <w:rPr>
          <w:rFonts w:ascii="Times New Roman" w:eastAsia="Calibri" w:hAnsi="Times New Roman" w:cs="Times New Roman"/>
          <w:sz w:val="24"/>
          <w:szCs w:val="24"/>
        </w:rPr>
        <w:t>Christopher J. Kirkpatrick</w:t>
      </w:r>
    </w:p>
    <w:p w14:paraId="347B092B" w14:textId="77777777" w:rsidR="0008423C" w:rsidRPr="000B7359" w:rsidRDefault="0008423C" w:rsidP="0008423C">
      <w:pPr>
        <w:pStyle w:val="NoSpacing"/>
        <w:rPr>
          <w:rFonts w:ascii="Times New Roman" w:eastAsia="Calibri" w:hAnsi="Times New Roman" w:cs="Times New Roman"/>
          <w:sz w:val="24"/>
          <w:szCs w:val="24"/>
        </w:rPr>
      </w:pPr>
      <w:r w:rsidRPr="000B7359">
        <w:rPr>
          <w:rFonts w:ascii="Times New Roman" w:eastAsia="Calibri" w:hAnsi="Times New Roman" w:cs="Times New Roman"/>
          <w:sz w:val="24"/>
          <w:szCs w:val="24"/>
        </w:rPr>
        <w:t>Office of the Secretariat</w:t>
      </w:r>
    </w:p>
    <w:p w14:paraId="347B092C" w14:textId="77777777" w:rsidR="0008423C" w:rsidRPr="000B7359" w:rsidRDefault="0008423C" w:rsidP="0008423C">
      <w:pPr>
        <w:pStyle w:val="NoSpacing"/>
        <w:rPr>
          <w:rFonts w:ascii="Times New Roman" w:eastAsia="Calibri" w:hAnsi="Times New Roman" w:cs="Times New Roman"/>
          <w:sz w:val="24"/>
          <w:szCs w:val="24"/>
        </w:rPr>
      </w:pPr>
      <w:r w:rsidRPr="000B7359">
        <w:rPr>
          <w:rFonts w:ascii="Times New Roman" w:eastAsia="Calibri" w:hAnsi="Times New Roman" w:cs="Times New Roman"/>
          <w:sz w:val="24"/>
          <w:szCs w:val="24"/>
        </w:rPr>
        <w:t>Commodity Futures Trading Commission</w:t>
      </w:r>
    </w:p>
    <w:p w14:paraId="347B092D" w14:textId="77777777" w:rsidR="0008423C" w:rsidRPr="000B7359" w:rsidRDefault="0008423C" w:rsidP="0008423C">
      <w:pPr>
        <w:pStyle w:val="NoSpacing"/>
        <w:rPr>
          <w:rFonts w:ascii="Times New Roman" w:eastAsia="Calibri" w:hAnsi="Times New Roman" w:cs="Times New Roman"/>
          <w:sz w:val="24"/>
          <w:szCs w:val="24"/>
        </w:rPr>
      </w:pPr>
      <w:r w:rsidRPr="000B7359">
        <w:rPr>
          <w:rFonts w:ascii="Times New Roman" w:eastAsia="Calibri" w:hAnsi="Times New Roman" w:cs="Times New Roman"/>
          <w:sz w:val="24"/>
          <w:szCs w:val="24"/>
        </w:rPr>
        <w:t>Three Lafayette Center</w:t>
      </w:r>
    </w:p>
    <w:p w14:paraId="347B092E" w14:textId="77777777" w:rsidR="0008423C" w:rsidRPr="000B7359" w:rsidRDefault="0008423C" w:rsidP="0008423C">
      <w:pPr>
        <w:pStyle w:val="NoSpacing"/>
        <w:rPr>
          <w:rFonts w:ascii="Times New Roman" w:eastAsia="Calibri" w:hAnsi="Times New Roman" w:cs="Times New Roman"/>
          <w:sz w:val="24"/>
          <w:szCs w:val="24"/>
        </w:rPr>
      </w:pPr>
      <w:r w:rsidRPr="000B7359">
        <w:rPr>
          <w:rFonts w:ascii="Times New Roman" w:eastAsia="Calibri" w:hAnsi="Times New Roman" w:cs="Times New Roman"/>
          <w:sz w:val="24"/>
          <w:szCs w:val="24"/>
        </w:rPr>
        <w:t>1155 21</w:t>
      </w:r>
      <w:r w:rsidRPr="000B7359">
        <w:rPr>
          <w:rFonts w:ascii="Times New Roman" w:eastAsia="Calibri" w:hAnsi="Times New Roman" w:cs="Times New Roman"/>
          <w:sz w:val="24"/>
          <w:szCs w:val="24"/>
          <w:vertAlign w:val="superscript"/>
        </w:rPr>
        <w:t>st</w:t>
      </w:r>
      <w:r w:rsidRPr="000B7359">
        <w:rPr>
          <w:rFonts w:ascii="Times New Roman" w:eastAsia="Calibri" w:hAnsi="Times New Roman" w:cs="Times New Roman"/>
          <w:sz w:val="24"/>
          <w:szCs w:val="24"/>
        </w:rPr>
        <w:t xml:space="preserve"> Street, NW</w:t>
      </w:r>
    </w:p>
    <w:p w14:paraId="347B092F" w14:textId="77777777" w:rsidR="0008423C" w:rsidRPr="000B7359" w:rsidRDefault="0008423C" w:rsidP="0008423C">
      <w:pPr>
        <w:pStyle w:val="NoSpacing"/>
        <w:rPr>
          <w:rFonts w:ascii="Times New Roman" w:eastAsia="Calibri" w:hAnsi="Times New Roman" w:cs="Times New Roman"/>
          <w:sz w:val="24"/>
          <w:szCs w:val="24"/>
        </w:rPr>
      </w:pPr>
      <w:r w:rsidRPr="000B7359">
        <w:rPr>
          <w:rFonts w:ascii="Times New Roman" w:eastAsia="Calibri" w:hAnsi="Times New Roman" w:cs="Times New Roman"/>
          <w:sz w:val="24"/>
          <w:szCs w:val="24"/>
        </w:rPr>
        <w:t>Washington, DC  20581</w:t>
      </w:r>
    </w:p>
    <w:p w14:paraId="347B0930" w14:textId="77777777" w:rsidR="0008423C" w:rsidRPr="000B7359" w:rsidRDefault="0008423C" w:rsidP="0008423C">
      <w:pPr>
        <w:pStyle w:val="NoSpacing"/>
        <w:rPr>
          <w:rFonts w:ascii="Times New Roman" w:eastAsia="Times New Roman" w:hAnsi="Times New Roman" w:cs="Times New Roman"/>
          <w:sz w:val="24"/>
          <w:szCs w:val="24"/>
        </w:rPr>
      </w:pPr>
    </w:p>
    <w:p w14:paraId="347B0932" w14:textId="6435E91B" w:rsidR="0008423C" w:rsidRPr="000B7359" w:rsidRDefault="004B0524" w:rsidP="004B0524">
      <w:pPr>
        <w:pStyle w:val="NoSpacing"/>
        <w:ind w:left="720"/>
        <w:rPr>
          <w:rFonts w:ascii="Times New Roman" w:eastAsia="Calibri" w:hAnsi="Times New Roman" w:cs="Times New Roman"/>
          <w:b/>
          <w:sz w:val="24"/>
          <w:szCs w:val="24"/>
        </w:rPr>
      </w:pPr>
      <w:r w:rsidRPr="000B7359">
        <w:rPr>
          <w:rFonts w:ascii="Times New Roman" w:eastAsia="Calibri" w:hAnsi="Times New Roman" w:cs="Times New Roman"/>
          <w:sz w:val="24"/>
          <w:szCs w:val="24"/>
        </w:rPr>
        <w:t xml:space="preserve">Re:  </w:t>
      </w:r>
      <w:r w:rsidRPr="000B7359">
        <w:rPr>
          <w:rFonts w:ascii="Times New Roman" w:eastAsia="Calibri" w:hAnsi="Times New Roman" w:cs="Times New Roman"/>
          <w:b/>
          <w:sz w:val="24"/>
          <w:szCs w:val="24"/>
        </w:rPr>
        <w:t>Amendments to NFX Rulebook Pursuant to Annual Review</w:t>
      </w:r>
      <w:r w:rsidR="009D0582" w:rsidRPr="000B7359">
        <w:rPr>
          <w:rFonts w:ascii="Times New Roman" w:eastAsia="Times New Roman" w:hAnsi="Times New Roman" w:cs="Times New Roman"/>
          <w:b/>
          <w:bCs/>
          <w:sz w:val="24"/>
          <w:szCs w:val="24"/>
        </w:rPr>
        <w:t xml:space="preserve"> </w:t>
      </w:r>
    </w:p>
    <w:p w14:paraId="347B0933" w14:textId="2DCDF43A" w:rsidR="0008423C" w:rsidRPr="000B7359" w:rsidRDefault="0008423C" w:rsidP="0008423C">
      <w:pPr>
        <w:pStyle w:val="NoSpacing"/>
        <w:ind w:left="720"/>
        <w:rPr>
          <w:rFonts w:ascii="Times New Roman" w:eastAsia="Calibri" w:hAnsi="Times New Roman" w:cs="Times New Roman"/>
          <w:b/>
          <w:sz w:val="24"/>
          <w:szCs w:val="24"/>
          <w:u w:val="single"/>
        </w:rPr>
      </w:pPr>
      <w:r w:rsidRPr="000B7359">
        <w:rPr>
          <w:rFonts w:ascii="Times New Roman" w:eastAsia="Calibri" w:hAnsi="Times New Roman" w:cs="Times New Roman"/>
          <w:b/>
          <w:sz w:val="24"/>
          <w:szCs w:val="24"/>
        </w:rPr>
        <w:t xml:space="preserve">       </w:t>
      </w:r>
      <w:r w:rsidRPr="000B7359">
        <w:rPr>
          <w:rFonts w:ascii="Times New Roman" w:eastAsia="Calibri" w:hAnsi="Times New Roman" w:cs="Times New Roman"/>
          <w:b/>
          <w:sz w:val="24"/>
          <w:szCs w:val="24"/>
          <w:u w:val="single"/>
        </w:rPr>
        <w:t xml:space="preserve">Reference File: </w:t>
      </w:r>
      <w:r w:rsidR="004B0524" w:rsidRPr="000B7359">
        <w:rPr>
          <w:rFonts w:ascii="Times New Roman" w:eastAsia="Calibri" w:hAnsi="Times New Roman" w:cs="Times New Roman"/>
          <w:b/>
          <w:sz w:val="24"/>
          <w:szCs w:val="24"/>
          <w:u w:val="single"/>
        </w:rPr>
        <w:t>SR-NFX-2017</w:t>
      </w:r>
      <w:r w:rsidRPr="000B7359">
        <w:rPr>
          <w:rFonts w:ascii="Times New Roman" w:eastAsia="Calibri" w:hAnsi="Times New Roman" w:cs="Times New Roman"/>
          <w:b/>
          <w:sz w:val="24"/>
          <w:szCs w:val="24"/>
          <w:u w:val="single"/>
        </w:rPr>
        <w:t>-</w:t>
      </w:r>
      <w:r w:rsidR="00CB62F6" w:rsidRPr="000B7359">
        <w:rPr>
          <w:rFonts w:ascii="Times New Roman" w:eastAsia="Calibri" w:hAnsi="Times New Roman" w:cs="Times New Roman"/>
          <w:b/>
          <w:sz w:val="24"/>
          <w:szCs w:val="24"/>
          <w:u w:val="single"/>
        </w:rPr>
        <w:t>36</w:t>
      </w:r>
    </w:p>
    <w:p w14:paraId="347B0934" w14:textId="77777777" w:rsidR="0008423C" w:rsidRPr="000B7359"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0B7359" w:rsidRDefault="0008423C" w:rsidP="0008423C">
      <w:pPr>
        <w:pStyle w:val="NoSpacing"/>
        <w:rPr>
          <w:rFonts w:ascii="Times New Roman" w:eastAsia="Calibri" w:hAnsi="Times New Roman" w:cs="Times New Roman"/>
          <w:sz w:val="24"/>
          <w:szCs w:val="24"/>
        </w:rPr>
      </w:pPr>
      <w:r w:rsidRPr="000B7359">
        <w:rPr>
          <w:rFonts w:ascii="Times New Roman" w:eastAsia="Calibri" w:hAnsi="Times New Roman" w:cs="Times New Roman"/>
          <w:sz w:val="24"/>
          <w:szCs w:val="24"/>
        </w:rPr>
        <w:t>Dear Mr. Kirkpatrick:</w:t>
      </w:r>
    </w:p>
    <w:p w14:paraId="347B0936" w14:textId="77777777" w:rsidR="0008423C" w:rsidRPr="000B7359" w:rsidRDefault="0008423C" w:rsidP="0008423C">
      <w:pPr>
        <w:pStyle w:val="NoSpacing"/>
        <w:rPr>
          <w:rFonts w:ascii="Times New Roman" w:eastAsia="Calibri" w:hAnsi="Times New Roman" w:cs="Times New Roman"/>
          <w:sz w:val="24"/>
          <w:szCs w:val="24"/>
        </w:rPr>
      </w:pPr>
    </w:p>
    <w:p w14:paraId="347B0937" w14:textId="4235C124" w:rsidR="00154FD5" w:rsidRPr="000B7359" w:rsidRDefault="005E3020" w:rsidP="00154FD5">
      <w:pPr>
        <w:pStyle w:val="NoSpacing"/>
        <w:ind w:firstLine="1310"/>
        <w:rPr>
          <w:rFonts w:ascii="Times New Roman" w:eastAsia="Calibri" w:hAnsi="Times New Roman" w:cs="Times New Roman"/>
          <w:sz w:val="24"/>
          <w:szCs w:val="24"/>
        </w:rPr>
      </w:pPr>
      <w:r w:rsidRPr="000B7359">
        <w:rPr>
          <w:rFonts w:ascii="Times New Roman" w:eastAsia="Calibri" w:hAnsi="Times New Roman" w:cs="Times New Roman"/>
          <w:sz w:val="24"/>
          <w:szCs w:val="24"/>
        </w:rPr>
        <w:t>Pursuant to Section 5c(c)(1) of the Commodity Exchange Act, as amended (“</w:t>
      </w:r>
      <w:r w:rsidRPr="000B7359">
        <w:rPr>
          <w:rFonts w:ascii="Times New Roman" w:eastAsia="Calibri" w:hAnsi="Times New Roman" w:cs="Times New Roman"/>
          <w:sz w:val="24"/>
          <w:szCs w:val="24"/>
          <w:u w:val="single"/>
        </w:rPr>
        <w:t>Act</w:t>
      </w:r>
      <w:r w:rsidRPr="000B7359">
        <w:rPr>
          <w:rFonts w:ascii="Times New Roman" w:eastAsia="Calibri" w:hAnsi="Times New Roman" w:cs="Times New Roman"/>
          <w:sz w:val="24"/>
          <w:szCs w:val="24"/>
        </w:rPr>
        <w:t xml:space="preserve">”), and Section </w:t>
      </w:r>
      <w:r w:rsidRPr="000B7359">
        <w:rPr>
          <w:rFonts w:ascii="Times New Roman" w:hAnsi="Times New Roman" w:cs="Times New Roman"/>
          <w:sz w:val="24"/>
          <w:szCs w:val="24"/>
        </w:rPr>
        <w:t xml:space="preserve">40.6 </w:t>
      </w:r>
      <w:r w:rsidRPr="000B7359">
        <w:rPr>
          <w:rFonts w:ascii="Times New Roman" w:eastAsia="Calibri" w:hAnsi="Times New Roman" w:cs="Times New Roman"/>
          <w:sz w:val="24"/>
          <w:szCs w:val="24"/>
        </w:rPr>
        <w:t>of the Commission’s regulations thereunder, NASDAQ Futures, Inc. (“</w:t>
      </w:r>
      <w:r w:rsidRPr="000B7359">
        <w:rPr>
          <w:rFonts w:ascii="Times New Roman" w:eastAsia="Calibri" w:hAnsi="Times New Roman" w:cs="Times New Roman"/>
          <w:sz w:val="24"/>
          <w:szCs w:val="24"/>
          <w:u w:val="single"/>
        </w:rPr>
        <w:t>NFX</w:t>
      </w:r>
      <w:r w:rsidRPr="000B7359">
        <w:rPr>
          <w:rFonts w:ascii="Times New Roman" w:eastAsia="Calibri" w:hAnsi="Times New Roman" w:cs="Times New Roman"/>
          <w:sz w:val="24"/>
          <w:szCs w:val="24"/>
        </w:rPr>
        <w:t>” or “</w:t>
      </w:r>
      <w:r w:rsidRPr="000B7359">
        <w:rPr>
          <w:rFonts w:ascii="Times New Roman" w:eastAsia="Calibri" w:hAnsi="Times New Roman" w:cs="Times New Roman"/>
          <w:sz w:val="24"/>
          <w:szCs w:val="24"/>
          <w:u w:val="single"/>
        </w:rPr>
        <w:t>Exchange</w:t>
      </w:r>
      <w:r w:rsidRPr="000B7359">
        <w:rPr>
          <w:rFonts w:ascii="Times New Roman" w:eastAsia="Calibri" w:hAnsi="Times New Roman" w:cs="Times New Roman"/>
          <w:sz w:val="24"/>
          <w:szCs w:val="24"/>
        </w:rPr>
        <w:t xml:space="preserve">”) hereby submits rules relating to block trade minimum quantity thresholds and reporting times, trading hours, daily settlement prices and non-reviewable ranges for </w:t>
      </w:r>
      <w:r w:rsidR="00CB62F6" w:rsidRPr="000B7359">
        <w:rPr>
          <w:rFonts w:ascii="Times New Roman" w:eastAsia="Calibri" w:hAnsi="Times New Roman" w:cs="Times New Roman"/>
          <w:sz w:val="24"/>
          <w:szCs w:val="24"/>
        </w:rPr>
        <w:t xml:space="preserve">NFX Natural Gas Liquids Financial Futures (“NatGas </w:t>
      </w:r>
      <w:r w:rsidR="00EB70A2">
        <w:rPr>
          <w:rFonts w:ascii="Times New Roman" w:eastAsia="Calibri" w:hAnsi="Times New Roman" w:cs="Times New Roman"/>
          <w:sz w:val="24"/>
          <w:szCs w:val="24"/>
        </w:rPr>
        <w:t xml:space="preserve">Liquids </w:t>
      </w:r>
      <w:r w:rsidR="00CB62F6" w:rsidRPr="000B7359">
        <w:rPr>
          <w:rFonts w:ascii="Times New Roman" w:eastAsia="Calibri" w:hAnsi="Times New Roman" w:cs="Times New Roman"/>
          <w:sz w:val="24"/>
          <w:szCs w:val="24"/>
        </w:rPr>
        <w:t>Futures”).  The Exchange anticipates listing the NatGas</w:t>
      </w:r>
      <w:r w:rsidR="00EB70A2">
        <w:rPr>
          <w:rFonts w:ascii="Times New Roman" w:eastAsia="Calibri" w:hAnsi="Times New Roman" w:cs="Times New Roman"/>
          <w:sz w:val="24"/>
          <w:szCs w:val="24"/>
        </w:rPr>
        <w:t xml:space="preserve"> Liquids</w:t>
      </w:r>
      <w:r w:rsidR="00CB62F6" w:rsidRPr="000B7359">
        <w:rPr>
          <w:rFonts w:ascii="Times New Roman" w:eastAsia="Calibri" w:hAnsi="Times New Roman" w:cs="Times New Roman"/>
          <w:sz w:val="24"/>
          <w:szCs w:val="24"/>
        </w:rPr>
        <w:t xml:space="preserve"> Futures beginning </w:t>
      </w:r>
      <w:r w:rsidR="004A3A69">
        <w:rPr>
          <w:rFonts w:ascii="Times New Roman" w:eastAsia="Calibri" w:hAnsi="Times New Roman" w:cs="Times New Roman"/>
          <w:sz w:val="24"/>
          <w:szCs w:val="24"/>
        </w:rPr>
        <w:t>November 1</w:t>
      </w:r>
      <w:r w:rsidR="00CB62F6" w:rsidRPr="000B7359">
        <w:rPr>
          <w:rFonts w:ascii="Times New Roman" w:eastAsia="Calibri" w:hAnsi="Times New Roman" w:cs="Times New Roman"/>
          <w:sz w:val="24"/>
          <w:szCs w:val="24"/>
        </w:rPr>
        <w:t>, 2017,</w:t>
      </w:r>
      <w:r w:rsidR="00A458A0">
        <w:rPr>
          <w:rFonts w:ascii="Times New Roman" w:eastAsia="Calibri" w:hAnsi="Times New Roman" w:cs="Times New Roman"/>
          <w:sz w:val="24"/>
          <w:szCs w:val="24"/>
        </w:rPr>
        <w:t xml:space="preserve"> for trade date </w:t>
      </w:r>
      <w:r w:rsidR="004A3A69">
        <w:rPr>
          <w:rFonts w:ascii="Times New Roman" w:eastAsia="Calibri" w:hAnsi="Times New Roman" w:cs="Times New Roman"/>
          <w:sz w:val="24"/>
          <w:szCs w:val="24"/>
        </w:rPr>
        <w:t>November 2</w:t>
      </w:r>
      <w:r w:rsidR="00A458A0">
        <w:rPr>
          <w:rFonts w:ascii="Times New Roman" w:eastAsia="Calibri" w:hAnsi="Times New Roman" w:cs="Times New Roman"/>
          <w:sz w:val="24"/>
          <w:szCs w:val="24"/>
        </w:rPr>
        <w:t>, 2017</w:t>
      </w:r>
      <w:r w:rsidR="00154FD5" w:rsidRPr="000B7359">
        <w:rPr>
          <w:rFonts w:ascii="Times New Roman" w:eastAsia="Calibri" w:hAnsi="Times New Roman" w:cs="Times New Roman"/>
          <w:sz w:val="24"/>
          <w:szCs w:val="24"/>
        </w:rPr>
        <w:t xml:space="preserve">.  The amendments proposed in this submission shall be effective on the listing date.  </w:t>
      </w:r>
    </w:p>
    <w:p w14:paraId="347B0938" w14:textId="77777777" w:rsidR="0008423C" w:rsidRPr="000B7359" w:rsidRDefault="0008423C" w:rsidP="00154FD5">
      <w:pPr>
        <w:pStyle w:val="NoSpacing"/>
        <w:ind w:firstLine="720"/>
        <w:rPr>
          <w:rFonts w:ascii="Times New Roman" w:eastAsia="Calibri" w:hAnsi="Times New Roman" w:cs="Times New Roman"/>
          <w:sz w:val="24"/>
          <w:szCs w:val="24"/>
        </w:rPr>
      </w:pPr>
    </w:p>
    <w:p w14:paraId="6EDE3252" w14:textId="42086176" w:rsidR="00CB62F6" w:rsidRPr="000B7359" w:rsidRDefault="00154FD5" w:rsidP="00CB62F6">
      <w:pPr>
        <w:pStyle w:val="NoSpacing"/>
        <w:ind w:firstLine="1310"/>
        <w:rPr>
          <w:rFonts w:ascii="Times New Roman" w:eastAsia="Calibri" w:hAnsi="Times New Roman" w:cs="Times New Roman"/>
          <w:sz w:val="24"/>
          <w:szCs w:val="24"/>
        </w:rPr>
      </w:pPr>
      <w:r w:rsidRPr="000B7359">
        <w:rPr>
          <w:rFonts w:ascii="Times New Roman" w:eastAsia="Calibri" w:hAnsi="Times New Roman" w:cs="Times New Roman"/>
          <w:sz w:val="24"/>
          <w:szCs w:val="24"/>
        </w:rPr>
        <w:t xml:space="preserve">The name of each </w:t>
      </w:r>
      <w:r w:rsidR="00CB62F6" w:rsidRPr="000B7359">
        <w:rPr>
          <w:rFonts w:ascii="Times New Roman" w:eastAsia="Calibri" w:hAnsi="Times New Roman" w:cs="Times New Roman"/>
          <w:sz w:val="24"/>
          <w:szCs w:val="24"/>
        </w:rPr>
        <w:t xml:space="preserve">NatGas </w:t>
      </w:r>
      <w:r w:rsidR="00EB70A2">
        <w:rPr>
          <w:rFonts w:ascii="Times New Roman" w:eastAsia="Calibri" w:hAnsi="Times New Roman" w:cs="Times New Roman"/>
          <w:sz w:val="24"/>
          <w:szCs w:val="24"/>
        </w:rPr>
        <w:t xml:space="preserve">Liquids </w:t>
      </w:r>
      <w:r w:rsidR="00CB62F6" w:rsidRPr="000B7359">
        <w:rPr>
          <w:rFonts w:ascii="Times New Roman" w:eastAsia="Calibri" w:hAnsi="Times New Roman" w:cs="Times New Roman"/>
          <w:sz w:val="24"/>
          <w:szCs w:val="24"/>
        </w:rPr>
        <w:t xml:space="preserve">Futures is listed below, followed by its symbol in parentheses:  </w:t>
      </w:r>
    </w:p>
    <w:p w14:paraId="5D3D5F03" w14:textId="77777777" w:rsidR="00CB62F6" w:rsidRPr="000B7359" w:rsidRDefault="00CB62F6" w:rsidP="00CB62F6">
      <w:pPr>
        <w:pStyle w:val="NoSpacing"/>
        <w:numPr>
          <w:ilvl w:val="0"/>
          <w:numId w:val="1"/>
        </w:numPr>
        <w:rPr>
          <w:rFonts w:ascii="Times New Roman" w:eastAsia="Calibri" w:hAnsi="Times New Roman" w:cs="Times New Roman"/>
          <w:sz w:val="24"/>
          <w:szCs w:val="24"/>
        </w:rPr>
      </w:pPr>
      <w:r w:rsidRPr="000B7359">
        <w:rPr>
          <w:rFonts w:ascii="Times New Roman" w:eastAsia="Calibri" w:hAnsi="Times New Roman" w:cs="Times New Roman"/>
          <w:sz w:val="24"/>
          <w:szCs w:val="24"/>
        </w:rPr>
        <w:t xml:space="preserve">NFX (OPIS) Conway Normal Butane Futures (EIMQ) </w:t>
      </w:r>
    </w:p>
    <w:p w14:paraId="1672CD3C" w14:textId="77777777" w:rsidR="00CB62F6" w:rsidRPr="000B7359" w:rsidRDefault="00CB62F6" w:rsidP="00CB62F6">
      <w:pPr>
        <w:pStyle w:val="NoSpacing"/>
        <w:numPr>
          <w:ilvl w:val="0"/>
          <w:numId w:val="1"/>
        </w:numPr>
        <w:rPr>
          <w:rFonts w:ascii="Times New Roman" w:eastAsia="Calibri" w:hAnsi="Times New Roman" w:cs="Times New Roman"/>
          <w:sz w:val="24"/>
          <w:szCs w:val="24"/>
        </w:rPr>
      </w:pPr>
      <w:r w:rsidRPr="000B7359">
        <w:rPr>
          <w:rFonts w:ascii="Times New Roman" w:eastAsia="Calibri" w:hAnsi="Times New Roman" w:cs="Times New Roman"/>
          <w:sz w:val="24"/>
          <w:szCs w:val="24"/>
        </w:rPr>
        <w:t xml:space="preserve">NFX (OPIS) Conway Propane Futures (EIKQ) </w:t>
      </w:r>
    </w:p>
    <w:p w14:paraId="4D3833CA" w14:textId="77777777" w:rsidR="00CB62F6" w:rsidRPr="000B7359" w:rsidRDefault="00CB62F6" w:rsidP="00CB62F6">
      <w:pPr>
        <w:pStyle w:val="NoSpacing"/>
        <w:numPr>
          <w:ilvl w:val="0"/>
          <w:numId w:val="1"/>
        </w:numPr>
        <w:rPr>
          <w:rFonts w:ascii="Times New Roman" w:eastAsia="Calibri" w:hAnsi="Times New Roman" w:cs="Times New Roman"/>
          <w:sz w:val="24"/>
          <w:szCs w:val="24"/>
        </w:rPr>
      </w:pPr>
      <w:r w:rsidRPr="000B7359">
        <w:rPr>
          <w:rFonts w:ascii="Times New Roman" w:eastAsia="Calibri" w:hAnsi="Times New Roman" w:cs="Times New Roman"/>
          <w:sz w:val="24"/>
          <w:szCs w:val="24"/>
        </w:rPr>
        <w:t xml:space="preserve">NFX (OPIS) Mont Belvieu Non-LST Normal Butane Futures (DROQ) </w:t>
      </w:r>
    </w:p>
    <w:p w14:paraId="0027A0AE" w14:textId="77777777" w:rsidR="00CB62F6" w:rsidRPr="000B7359" w:rsidRDefault="00CB62F6" w:rsidP="00CB62F6">
      <w:pPr>
        <w:pStyle w:val="NoSpacing"/>
        <w:numPr>
          <w:ilvl w:val="0"/>
          <w:numId w:val="1"/>
        </w:numPr>
        <w:rPr>
          <w:rFonts w:ascii="Times New Roman" w:eastAsia="Calibri" w:hAnsi="Times New Roman" w:cs="Times New Roman"/>
          <w:sz w:val="24"/>
          <w:szCs w:val="24"/>
        </w:rPr>
      </w:pPr>
      <w:r w:rsidRPr="000B7359">
        <w:rPr>
          <w:rFonts w:ascii="Times New Roman" w:eastAsia="Calibri" w:hAnsi="Times New Roman" w:cs="Times New Roman"/>
          <w:sz w:val="24"/>
          <w:szCs w:val="24"/>
        </w:rPr>
        <w:t xml:space="preserve">NFX (OPIS) Mont Belvieu Non-LST Propane Futures (PROQ) </w:t>
      </w:r>
    </w:p>
    <w:p w14:paraId="0B4BF3F4" w14:textId="77777777" w:rsidR="00CB62F6" w:rsidRPr="000B7359" w:rsidRDefault="00CB62F6" w:rsidP="00CB62F6">
      <w:pPr>
        <w:pStyle w:val="NoSpacing"/>
        <w:numPr>
          <w:ilvl w:val="0"/>
          <w:numId w:val="1"/>
        </w:numPr>
        <w:rPr>
          <w:rFonts w:ascii="Times New Roman" w:eastAsia="Calibri" w:hAnsi="Times New Roman" w:cs="Times New Roman"/>
          <w:sz w:val="24"/>
          <w:szCs w:val="24"/>
        </w:rPr>
      </w:pPr>
      <w:r w:rsidRPr="000B7359">
        <w:rPr>
          <w:rFonts w:ascii="Times New Roman" w:eastAsia="Calibri" w:hAnsi="Times New Roman" w:cs="Times New Roman"/>
          <w:sz w:val="24"/>
          <w:szCs w:val="24"/>
        </w:rPr>
        <w:t xml:space="preserve">NFX (OPIS) Mont Belvieu Non-LST Natural Gasoline Futures (QROQ) </w:t>
      </w:r>
    </w:p>
    <w:p w14:paraId="7BDA88B8" w14:textId="77777777" w:rsidR="00CB62F6" w:rsidRPr="000B7359" w:rsidRDefault="00CB62F6" w:rsidP="00CB62F6">
      <w:pPr>
        <w:pStyle w:val="NoSpacing"/>
        <w:numPr>
          <w:ilvl w:val="0"/>
          <w:numId w:val="1"/>
        </w:numPr>
        <w:rPr>
          <w:rFonts w:ascii="Times New Roman" w:eastAsia="Calibri" w:hAnsi="Times New Roman" w:cs="Times New Roman"/>
          <w:sz w:val="24"/>
          <w:szCs w:val="24"/>
        </w:rPr>
      </w:pPr>
      <w:r w:rsidRPr="000B7359">
        <w:rPr>
          <w:rFonts w:ascii="Times New Roman" w:eastAsia="Calibri" w:hAnsi="Times New Roman" w:cs="Times New Roman"/>
          <w:sz w:val="24"/>
          <w:szCs w:val="24"/>
        </w:rPr>
        <w:t xml:space="preserve">NFX (OPIS) Mont Belvieu Non-LST Ethane Futures (CROQ) </w:t>
      </w:r>
    </w:p>
    <w:p w14:paraId="09BBE217" w14:textId="77777777" w:rsidR="00CB62F6" w:rsidRPr="000B7359" w:rsidRDefault="00CB62F6" w:rsidP="00CB62F6">
      <w:pPr>
        <w:pStyle w:val="NoSpacing"/>
        <w:numPr>
          <w:ilvl w:val="0"/>
          <w:numId w:val="1"/>
        </w:numPr>
        <w:rPr>
          <w:rFonts w:ascii="Times New Roman" w:eastAsia="Calibri" w:hAnsi="Times New Roman" w:cs="Times New Roman"/>
          <w:sz w:val="24"/>
          <w:szCs w:val="24"/>
        </w:rPr>
      </w:pPr>
      <w:r w:rsidRPr="000B7359">
        <w:rPr>
          <w:rFonts w:ascii="Times New Roman" w:eastAsia="Calibri" w:hAnsi="Times New Roman" w:cs="Times New Roman"/>
          <w:sz w:val="24"/>
          <w:szCs w:val="24"/>
        </w:rPr>
        <w:t xml:space="preserve">NFX (OPIS) Mont Belvieu LST Propane Futures (BROQ) </w:t>
      </w:r>
    </w:p>
    <w:p w14:paraId="07DD3C3D" w14:textId="77777777" w:rsidR="00CB62F6" w:rsidRPr="000B7359" w:rsidRDefault="00CB62F6" w:rsidP="00CB62F6">
      <w:pPr>
        <w:pStyle w:val="NoSpacing"/>
        <w:numPr>
          <w:ilvl w:val="0"/>
          <w:numId w:val="1"/>
        </w:numPr>
        <w:rPr>
          <w:rFonts w:ascii="Times New Roman" w:eastAsia="Calibri" w:hAnsi="Times New Roman" w:cs="Times New Roman"/>
          <w:sz w:val="24"/>
          <w:szCs w:val="24"/>
        </w:rPr>
      </w:pPr>
      <w:r w:rsidRPr="000B7359">
        <w:rPr>
          <w:rFonts w:ascii="Times New Roman" w:eastAsia="Calibri" w:hAnsi="Times New Roman" w:cs="Times New Roman"/>
          <w:sz w:val="24"/>
          <w:szCs w:val="24"/>
        </w:rPr>
        <w:t>NFX (OPIS) Mont Belvieu LST Normal Butane Futures (MNBQ)</w:t>
      </w:r>
    </w:p>
    <w:p w14:paraId="347B095E" w14:textId="6CB4CB0A" w:rsidR="00154FD5" w:rsidRPr="000B7359" w:rsidRDefault="00154FD5" w:rsidP="00CB62F6">
      <w:pPr>
        <w:pStyle w:val="NoSpacing"/>
        <w:ind w:firstLine="1310"/>
        <w:rPr>
          <w:rFonts w:ascii="Times New Roman" w:eastAsia="Calibri" w:hAnsi="Times New Roman" w:cs="Times New Roman"/>
          <w:sz w:val="24"/>
          <w:szCs w:val="24"/>
        </w:rPr>
      </w:pPr>
    </w:p>
    <w:p w14:paraId="347B095F" w14:textId="77777777" w:rsidR="0008423C" w:rsidRPr="000B7359" w:rsidRDefault="0008423C" w:rsidP="0008423C">
      <w:pPr>
        <w:pStyle w:val="NoSpacing"/>
        <w:ind w:firstLine="1310"/>
        <w:rPr>
          <w:rFonts w:ascii="Times New Roman" w:eastAsia="Calibri" w:hAnsi="Times New Roman" w:cs="Times New Roman"/>
          <w:sz w:val="24"/>
          <w:szCs w:val="24"/>
        </w:rPr>
      </w:pPr>
      <w:r w:rsidRPr="000B7359">
        <w:rPr>
          <w:rFonts w:ascii="Times New Roman" w:hAnsi="Times New Roman" w:cs="Times New Roman"/>
          <w:sz w:val="24"/>
          <w:szCs w:val="24"/>
        </w:rPr>
        <w:lastRenderedPageBreak/>
        <w:t xml:space="preserve">The rule amendments proposed herein are attached to this letter in </w:t>
      </w:r>
      <w:r w:rsidR="00317C2C" w:rsidRPr="000B7359">
        <w:rPr>
          <w:rFonts w:ascii="Times New Roman" w:hAnsi="Times New Roman" w:cs="Times New Roman"/>
          <w:sz w:val="24"/>
          <w:szCs w:val="24"/>
          <w:u w:val="single"/>
        </w:rPr>
        <w:t>Exhibit A</w:t>
      </w:r>
      <w:r w:rsidRPr="000B7359">
        <w:rPr>
          <w:rFonts w:ascii="Times New Roman" w:hAnsi="Times New Roman" w:cs="Times New Roman"/>
          <w:sz w:val="24"/>
          <w:szCs w:val="24"/>
        </w:rPr>
        <w:t xml:space="preserve"> which amends Rulebook Appendix A, Listed Contracts.</w:t>
      </w:r>
      <w:r w:rsidRPr="000B7359">
        <w:rPr>
          <w:rStyle w:val="FootnoteReference"/>
          <w:rFonts w:ascii="Times New Roman" w:hAnsi="Times New Roman" w:cs="Times New Roman"/>
          <w:sz w:val="24"/>
          <w:szCs w:val="24"/>
        </w:rPr>
        <w:footnoteReference w:id="1"/>
      </w:r>
      <w:r w:rsidRPr="000B7359">
        <w:rPr>
          <w:rFonts w:ascii="Times New Roman" w:hAnsi="Times New Roman" w:cs="Times New Roman"/>
          <w:sz w:val="24"/>
          <w:szCs w:val="24"/>
        </w:rPr>
        <w:t xml:space="preserve">  </w:t>
      </w:r>
    </w:p>
    <w:p w14:paraId="347B0960" w14:textId="77777777" w:rsidR="0008423C" w:rsidRPr="000B7359" w:rsidRDefault="0008423C" w:rsidP="0008423C">
      <w:pPr>
        <w:pStyle w:val="NoSpacing"/>
        <w:ind w:firstLine="720"/>
        <w:rPr>
          <w:rFonts w:ascii="Times New Roman" w:hAnsi="Times New Roman" w:cs="Times New Roman"/>
          <w:sz w:val="24"/>
          <w:szCs w:val="24"/>
        </w:rPr>
      </w:pPr>
    </w:p>
    <w:p w14:paraId="347B0961" w14:textId="77777777" w:rsidR="0008423C" w:rsidRPr="000B7359" w:rsidRDefault="0008423C" w:rsidP="0008423C">
      <w:pPr>
        <w:pStyle w:val="NoSpacing"/>
        <w:ind w:firstLine="1310"/>
        <w:rPr>
          <w:rFonts w:ascii="Times New Roman" w:eastAsia="Calibri" w:hAnsi="Times New Roman" w:cs="Times New Roman"/>
          <w:sz w:val="24"/>
          <w:szCs w:val="24"/>
        </w:rPr>
      </w:pPr>
    </w:p>
    <w:p w14:paraId="347B0962" w14:textId="77777777" w:rsidR="0008423C" w:rsidRPr="000B7359" w:rsidRDefault="0008423C" w:rsidP="0008423C">
      <w:pPr>
        <w:pStyle w:val="Default"/>
        <w:ind w:left="1310"/>
        <w:rPr>
          <w:color w:val="auto"/>
        </w:rPr>
      </w:pPr>
      <w:r w:rsidRPr="000B7359">
        <w:rPr>
          <w:b/>
          <w:bCs/>
          <w:color w:val="auto"/>
          <w:u w:val="single"/>
        </w:rPr>
        <w:t xml:space="preserve">Exhibit 1 - Amendments to Rulebook Appendix A, Listed Contracts </w:t>
      </w:r>
    </w:p>
    <w:p w14:paraId="347B0963" w14:textId="77777777" w:rsidR="0008423C" w:rsidRPr="000B7359" w:rsidRDefault="0008423C" w:rsidP="0008423C">
      <w:pPr>
        <w:pStyle w:val="NoSpacing"/>
        <w:ind w:firstLine="1310"/>
        <w:rPr>
          <w:rFonts w:ascii="Times New Roman" w:hAnsi="Times New Roman" w:cs="Times New Roman"/>
          <w:sz w:val="24"/>
          <w:szCs w:val="24"/>
          <w:u w:val="single"/>
        </w:rPr>
      </w:pPr>
    </w:p>
    <w:p w14:paraId="347B0964" w14:textId="6422081D" w:rsidR="0008423C" w:rsidRPr="000B7359" w:rsidRDefault="0008423C" w:rsidP="0008423C">
      <w:pPr>
        <w:pStyle w:val="NoSpacing"/>
        <w:ind w:firstLine="1310"/>
        <w:rPr>
          <w:rFonts w:ascii="Times New Roman" w:hAnsi="Times New Roman" w:cs="Times New Roman"/>
          <w:sz w:val="24"/>
          <w:szCs w:val="24"/>
        </w:rPr>
      </w:pPr>
      <w:r w:rsidRPr="000B7359">
        <w:rPr>
          <w:rFonts w:ascii="Times New Roman" w:hAnsi="Times New Roman" w:cs="Times New Roman"/>
          <w:sz w:val="24"/>
          <w:szCs w:val="24"/>
          <w:u w:val="single"/>
        </w:rPr>
        <w:t xml:space="preserve">Trading Hours. </w:t>
      </w:r>
      <w:r w:rsidRPr="000B7359">
        <w:rPr>
          <w:rFonts w:ascii="Times New Roman" w:hAnsi="Times New Roman" w:cs="Times New Roman"/>
          <w:sz w:val="24"/>
          <w:szCs w:val="24"/>
        </w:rPr>
        <w:t xml:space="preserve">The Introduction to Rulebook Appendix A provides that unless otherwise specified by the Exchange, the regular Exchange trading days and hours for each contract, other than on the last trading day for the contract, will be Sunday - Friday, 7:00 PM EPT - 5:00 PM EPT, with a two hour break each day beginning at 5:00 PM EPT.  Thus, the Monday trading session begins at 7:00 PM EPT on Sunday and ends at 5:00 PM EPT on Monday.  Tuesday through Friday, each trading session begins at 7:00 PM EPT on the previous day and ends at 5:00 PM EPT. The Introduction to Rulebook Appendix A also provides that the last trading day for the contract terminates at the time specified in the rules specific to each contract. The </w:t>
      </w:r>
      <w:r w:rsidR="00CB62F6" w:rsidRPr="000B7359">
        <w:rPr>
          <w:rFonts w:ascii="Times New Roman" w:eastAsia="Times New Roman" w:hAnsi="Times New Roman" w:cs="Times New Roman"/>
          <w:bCs/>
          <w:sz w:val="24"/>
          <w:szCs w:val="24"/>
        </w:rPr>
        <w:t xml:space="preserve">NatGas </w:t>
      </w:r>
      <w:r w:rsidR="00EB70A2">
        <w:rPr>
          <w:rFonts w:ascii="Times New Roman" w:eastAsia="Calibri" w:hAnsi="Times New Roman" w:cs="Times New Roman"/>
          <w:sz w:val="24"/>
          <w:szCs w:val="24"/>
        </w:rPr>
        <w:t xml:space="preserve">Liquids </w:t>
      </w:r>
      <w:r w:rsidR="00CB62F6" w:rsidRPr="000B7359">
        <w:rPr>
          <w:rFonts w:ascii="Times New Roman" w:eastAsia="Times New Roman" w:hAnsi="Times New Roman" w:cs="Times New Roman"/>
          <w:bCs/>
          <w:sz w:val="24"/>
          <w:szCs w:val="24"/>
        </w:rPr>
        <w:t xml:space="preserve">Futures </w:t>
      </w:r>
      <w:r w:rsidRPr="000B7359">
        <w:rPr>
          <w:rFonts w:ascii="Times New Roman" w:hAnsi="Times New Roman" w:cs="Times New Roman"/>
          <w:sz w:val="24"/>
          <w:szCs w:val="24"/>
        </w:rPr>
        <w:t xml:space="preserve">will have the regular Exchange trading days and hours. The </w:t>
      </w:r>
      <w:r w:rsidR="00CB62F6" w:rsidRPr="000B7359">
        <w:rPr>
          <w:rFonts w:ascii="Times New Roman" w:eastAsia="Times New Roman" w:hAnsi="Times New Roman" w:cs="Times New Roman"/>
          <w:bCs/>
          <w:sz w:val="24"/>
          <w:szCs w:val="24"/>
        </w:rPr>
        <w:t xml:space="preserve">NatGas </w:t>
      </w:r>
      <w:r w:rsidR="00EB70A2">
        <w:rPr>
          <w:rFonts w:ascii="Times New Roman" w:eastAsia="Calibri" w:hAnsi="Times New Roman" w:cs="Times New Roman"/>
          <w:sz w:val="24"/>
          <w:szCs w:val="24"/>
        </w:rPr>
        <w:t xml:space="preserve">Liquids </w:t>
      </w:r>
      <w:r w:rsidR="00CB62F6" w:rsidRPr="000B7359">
        <w:rPr>
          <w:rFonts w:ascii="Times New Roman" w:eastAsia="Times New Roman" w:hAnsi="Times New Roman" w:cs="Times New Roman"/>
          <w:bCs/>
          <w:sz w:val="24"/>
          <w:szCs w:val="24"/>
        </w:rPr>
        <w:t xml:space="preserve">Futures </w:t>
      </w:r>
      <w:r w:rsidRPr="000B7359">
        <w:rPr>
          <w:rFonts w:ascii="Times New Roman" w:hAnsi="Times New Roman" w:cs="Times New Roman"/>
          <w:sz w:val="24"/>
          <w:szCs w:val="24"/>
        </w:rPr>
        <w:t xml:space="preserve">rules set forth in </w:t>
      </w:r>
      <w:r w:rsidRPr="000B7359">
        <w:rPr>
          <w:rFonts w:ascii="Times New Roman" w:hAnsi="Times New Roman" w:cs="Times New Roman"/>
          <w:sz w:val="24"/>
          <w:szCs w:val="24"/>
          <w:u w:val="single"/>
        </w:rPr>
        <w:t xml:space="preserve">Exhibit </w:t>
      </w:r>
      <w:r w:rsidR="00543CA2" w:rsidRPr="000B7359">
        <w:rPr>
          <w:rFonts w:ascii="Times New Roman" w:hAnsi="Times New Roman" w:cs="Times New Roman"/>
          <w:sz w:val="24"/>
          <w:szCs w:val="24"/>
          <w:u w:val="single"/>
        </w:rPr>
        <w:t>A</w:t>
      </w:r>
      <w:r w:rsidR="005F3337" w:rsidRPr="000B7359">
        <w:rPr>
          <w:rFonts w:ascii="Times New Roman" w:hAnsi="Times New Roman" w:cs="Times New Roman"/>
          <w:sz w:val="24"/>
          <w:szCs w:val="24"/>
        </w:rPr>
        <w:t xml:space="preserve"> </w:t>
      </w:r>
      <w:r w:rsidRPr="000B7359">
        <w:rPr>
          <w:rFonts w:ascii="Times New Roman" w:hAnsi="Times New Roman" w:cs="Times New Roman"/>
          <w:sz w:val="24"/>
          <w:szCs w:val="24"/>
        </w:rPr>
        <w:t xml:space="preserve">specify that trading </w:t>
      </w:r>
      <w:r w:rsidR="0057699B">
        <w:rPr>
          <w:rFonts w:ascii="Times New Roman" w:hAnsi="Times New Roman" w:cs="Times New Roman"/>
          <w:sz w:val="24"/>
          <w:szCs w:val="24"/>
        </w:rPr>
        <w:t xml:space="preserve">for a contract month </w:t>
      </w:r>
      <w:r w:rsidRPr="000B7359">
        <w:rPr>
          <w:rFonts w:ascii="Times New Roman" w:hAnsi="Times New Roman" w:cs="Times New Roman"/>
          <w:sz w:val="24"/>
          <w:szCs w:val="24"/>
        </w:rPr>
        <w:t>ceases on the last trading day</w:t>
      </w:r>
      <w:r w:rsidR="0057699B">
        <w:rPr>
          <w:rFonts w:ascii="Times New Roman" w:hAnsi="Times New Roman" w:cs="Times New Roman"/>
          <w:sz w:val="24"/>
          <w:szCs w:val="24"/>
        </w:rPr>
        <w:t xml:space="preserve"> of the contract month</w:t>
      </w:r>
      <w:r w:rsidRPr="000B7359">
        <w:rPr>
          <w:rFonts w:ascii="Times New Roman" w:hAnsi="Times New Roman" w:cs="Times New Roman"/>
          <w:sz w:val="24"/>
          <w:szCs w:val="24"/>
        </w:rPr>
        <w:t>.</w:t>
      </w:r>
      <w:r w:rsidRPr="000B7359">
        <w:rPr>
          <w:rStyle w:val="FootnoteReference"/>
          <w:rFonts w:ascii="Times New Roman" w:hAnsi="Times New Roman" w:cs="Times New Roman"/>
          <w:sz w:val="24"/>
          <w:szCs w:val="24"/>
        </w:rPr>
        <w:footnoteReference w:id="2"/>
      </w:r>
    </w:p>
    <w:p w14:paraId="347B0965" w14:textId="77777777" w:rsidR="0008423C" w:rsidRPr="000B7359" w:rsidRDefault="0008423C" w:rsidP="0008423C">
      <w:pPr>
        <w:pStyle w:val="NoSpacing"/>
        <w:ind w:firstLine="1310"/>
        <w:rPr>
          <w:rFonts w:ascii="Times New Roman" w:hAnsi="Times New Roman" w:cs="Times New Roman"/>
          <w:position w:val="8"/>
          <w:sz w:val="24"/>
          <w:szCs w:val="24"/>
          <w:vertAlign w:val="superscript"/>
        </w:rPr>
      </w:pPr>
    </w:p>
    <w:p w14:paraId="347B0966" w14:textId="3882B737" w:rsidR="0008423C" w:rsidRPr="000B7359" w:rsidRDefault="0008423C" w:rsidP="00E1206A">
      <w:pPr>
        <w:autoSpaceDE w:val="0"/>
        <w:autoSpaceDN w:val="0"/>
        <w:adjustRightInd w:val="0"/>
        <w:spacing w:after="0" w:line="240" w:lineRule="auto"/>
        <w:ind w:firstLine="1310"/>
        <w:rPr>
          <w:rFonts w:ascii="Times New Roman" w:eastAsia="Times New Roman" w:hAnsi="Times New Roman" w:cs="Times New Roman"/>
          <w:sz w:val="24"/>
          <w:szCs w:val="24"/>
        </w:rPr>
      </w:pPr>
      <w:r w:rsidRPr="000B7359">
        <w:rPr>
          <w:rFonts w:ascii="Times New Roman" w:hAnsi="Times New Roman" w:cs="Times New Roman"/>
          <w:sz w:val="24"/>
          <w:szCs w:val="24"/>
          <w:u w:val="single"/>
        </w:rPr>
        <w:t>Block Trade Minimum Quantity Threshold and Reporting Times.</w:t>
      </w:r>
      <w:r w:rsidRPr="000B7359">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0B7359">
        <w:rPr>
          <w:rFonts w:ascii="Times New Roman" w:hAnsi="Times New Roman" w:cs="Times New Roman"/>
          <w:sz w:val="24"/>
          <w:szCs w:val="24"/>
          <w:u w:val="single"/>
        </w:rPr>
        <w:t>Reporting Window</w:t>
      </w:r>
      <w:r w:rsidRPr="000B7359">
        <w:rPr>
          <w:rFonts w:ascii="Times New Roman" w:hAnsi="Times New Roman" w:cs="Times New Roman"/>
          <w:sz w:val="24"/>
          <w:szCs w:val="24"/>
        </w:rPr>
        <w:t>") specified in the rules for the particular contract.</w:t>
      </w:r>
      <w:r w:rsidRPr="000B7359">
        <w:rPr>
          <w:rStyle w:val="FootnoteReference"/>
          <w:rFonts w:ascii="Times New Roman" w:hAnsi="Times New Roman" w:cs="Times New Roman"/>
          <w:sz w:val="24"/>
          <w:szCs w:val="24"/>
        </w:rPr>
        <w:footnoteReference w:id="3"/>
      </w:r>
      <w:r w:rsidRPr="000B7359">
        <w:rPr>
          <w:rFonts w:ascii="Times New Roman" w:hAnsi="Times New Roman" w:cs="Times New Roman"/>
          <w:position w:val="8"/>
          <w:sz w:val="24"/>
          <w:szCs w:val="24"/>
          <w:vertAlign w:val="superscript"/>
        </w:rPr>
        <w:t xml:space="preserve">  </w:t>
      </w:r>
      <w:r w:rsidRPr="000B7359">
        <w:rPr>
          <w:rFonts w:ascii="Times New Roman" w:hAnsi="Times New Roman" w:cs="Times New Roman"/>
          <w:sz w:val="24"/>
          <w:szCs w:val="24"/>
        </w:rPr>
        <w:t xml:space="preserve">The </w:t>
      </w:r>
      <w:r w:rsidR="00CB62F6" w:rsidRPr="000B7359">
        <w:rPr>
          <w:rFonts w:ascii="Times New Roman" w:eastAsia="Times New Roman" w:hAnsi="Times New Roman" w:cs="Times New Roman"/>
          <w:bCs/>
          <w:sz w:val="24"/>
          <w:szCs w:val="24"/>
        </w:rPr>
        <w:t xml:space="preserve">NatGas </w:t>
      </w:r>
      <w:r w:rsidR="00EB70A2">
        <w:rPr>
          <w:rFonts w:ascii="Times New Roman" w:eastAsia="Calibri" w:hAnsi="Times New Roman" w:cs="Times New Roman"/>
          <w:sz w:val="24"/>
          <w:szCs w:val="24"/>
        </w:rPr>
        <w:t xml:space="preserve">Liquids </w:t>
      </w:r>
      <w:r w:rsidR="00CB62F6" w:rsidRPr="000B7359">
        <w:rPr>
          <w:rFonts w:ascii="Times New Roman" w:eastAsia="Times New Roman" w:hAnsi="Times New Roman" w:cs="Times New Roman"/>
          <w:bCs/>
          <w:sz w:val="24"/>
          <w:szCs w:val="24"/>
        </w:rPr>
        <w:t xml:space="preserve">Futures </w:t>
      </w:r>
      <w:r w:rsidRPr="000B7359">
        <w:rPr>
          <w:rFonts w:ascii="Times New Roman" w:hAnsi="Times New Roman" w:cs="Times New Roman"/>
          <w:sz w:val="24"/>
          <w:szCs w:val="24"/>
        </w:rPr>
        <w:t xml:space="preserve">are eligible for block trades.  The block trade minimum quantity threshold is set at </w:t>
      </w:r>
      <w:r w:rsidR="007A395D" w:rsidRPr="000B7359">
        <w:rPr>
          <w:rFonts w:ascii="Times New Roman" w:hAnsi="Times New Roman" w:cs="Times New Roman"/>
          <w:sz w:val="24"/>
          <w:szCs w:val="24"/>
        </w:rPr>
        <w:t>10</w:t>
      </w:r>
      <w:r w:rsidRPr="000B7359">
        <w:rPr>
          <w:rFonts w:ascii="Times New Roman" w:hAnsi="Times New Roman" w:cs="Times New Roman"/>
          <w:sz w:val="24"/>
          <w:szCs w:val="24"/>
        </w:rPr>
        <w:t xml:space="preserve"> contracts and the Reporting Window is set at 15 </w:t>
      </w:r>
      <w:r w:rsidRPr="000B7359">
        <w:rPr>
          <w:rFonts w:ascii="Times New Roman" w:hAnsi="Times New Roman" w:cs="Times New Roman"/>
          <w:sz w:val="24"/>
          <w:szCs w:val="24"/>
        </w:rPr>
        <w:lastRenderedPageBreak/>
        <w:t xml:space="preserve">minutes.  </w:t>
      </w:r>
      <w:r w:rsidR="00E1206A" w:rsidRPr="000B7359">
        <w:rPr>
          <w:rFonts w:ascii="Times New Roman" w:eastAsia="Times New Roman" w:hAnsi="Times New Roman" w:cs="Times New Roman"/>
          <w:sz w:val="24"/>
          <w:szCs w:val="24"/>
        </w:rPr>
        <w:t xml:space="preserve">Spot month position limits for the </w:t>
      </w:r>
      <w:r w:rsidR="00CB62F6" w:rsidRPr="000B7359">
        <w:rPr>
          <w:rFonts w:ascii="Times New Roman" w:eastAsia="Times New Roman" w:hAnsi="Times New Roman" w:cs="Times New Roman"/>
          <w:bCs/>
          <w:sz w:val="24"/>
          <w:szCs w:val="24"/>
        </w:rPr>
        <w:t xml:space="preserve">NatGas </w:t>
      </w:r>
      <w:r w:rsidR="00EB70A2">
        <w:rPr>
          <w:rFonts w:ascii="Times New Roman" w:eastAsia="Calibri" w:hAnsi="Times New Roman" w:cs="Times New Roman"/>
          <w:sz w:val="24"/>
          <w:szCs w:val="24"/>
        </w:rPr>
        <w:t xml:space="preserve">Liquids </w:t>
      </w:r>
      <w:r w:rsidR="00CB62F6" w:rsidRPr="000B7359">
        <w:rPr>
          <w:rFonts w:ascii="Times New Roman" w:eastAsia="Times New Roman" w:hAnsi="Times New Roman" w:cs="Times New Roman"/>
          <w:bCs/>
          <w:sz w:val="24"/>
          <w:szCs w:val="24"/>
        </w:rPr>
        <w:t xml:space="preserve">Futures </w:t>
      </w:r>
      <w:r w:rsidR="00E1206A" w:rsidRPr="000B7359">
        <w:rPr>
          <w:rFonts w:ascii="Times New Roman" w:eastAsia="Times New Roman" w:hAnsi="Times New Roman" w:cs="Times New Roman"/>
          <w:sz w:val="24"/>
          <w:szCs w:val="24"/>
        </w:rPr>
        <w:t xml:space="preserve">set forth on </w:t>
      </w:r>
      <w:r w:rsidR="00E1206A" w:rsidRPr="000B7359">
        <w:rPr>
          <w:rFonts w:ascii="Times New Roman" w:eastAsia="Times New Roman" w:hAnsi="Times New Roman" w:cs="Times New Roman"/>
          <w:sz w:val="24"/>
          <w:szCs w:val="24"/>
          <w:u w:val="single"/>
        </w:rPr>
        <w:t>Exhibit B</w:t>
      </w:r>
      <w:r w:rsidR="00E1206A" w:rsidRPr="000B7359">
        <w:rPr>
          <w:rFonts w:ascii="Times New Roman" w:eastAsia="Times New Roman" w:hAnsi="Times New Roman" w:cs="Times New Roman"/>
          <w:sz w:val="24"/>
          <w:szCs w:val="24"/>
        </w:rPr>
        <w:t xml:space="preserve"> are consistent with those for comparable contracts listed by </w:t>
      </w:r>
      <w:r w:rsidR="007A395D" w:rsidRPr="000B7359">
        <w:rPr>
          <w:rFonts w:ascii="Times New Roman" w:eastAsia="Times New Roman" w:hAnsi="Times New Roman" w:cs="Times New Roman"/>
          <w:sz w:val="24"/>
          <w:szCs w:val="24"/>
        </w:rPr>
        <w:t>NYMEX</w:t>
      </w:r>
      <w:r w:rsidRPr="000B7359">
        <w:rPr>
          <w:rFonts w:ascii="Times New Roman" w:hAnsi="Times New Roman" w:cs="Times New Roman"/>
          <w:sz w:val="24"/>
          <w:szCs w:val="24"/>
        </w:rPr>
        <w:t>.</w:t>
      </w:r>
      <w:r w:rsidRPr="000B7359">
        <w:rPr>
          <w:rStyle w:val="FootnoteReference"/>
          <w:rFonts w:ascii="Times New Roman" w:hAnsi="Times New Roman" w:cs="Times New Roman"/>
          <w:sz w:val="24"/>
          <w:szCs w:val="24"/>
        </w:rPr>
        <w:footnoteReference w:id="4"/>
      </w:r>
      <w:r w:rsidRPr="000B7359">
        <w:rPr>
          <w:rFonts w:ascii="Times New Roman" w:hAnsi="Times New Roman" w:cs="Times New Roman"/>
          <w:sz w:val="24"/>
          <w:szCs w:val="24"/>
        </w:rPr>
        <w:t xml:space="preserve"> </w:t>
      </w:r>
    </w:p>
    <w:p w14:paraId="347B0967" w14:textId="77777777" w:rsidR="0008423C" w:rsidRPr="000B7359" w:rsidRDefault="0008423C" w:rsidP="0008423C">
      <w:pPr>
        <w:pStyle w:val="Default"/>
        <w:ind w:firstLine="1310"/>
        <w:rPr>
          <w:color w:val="auto"/>
        </w:rPr>
      </w:pPr>
    </w:p>
    <w:p w14:paraId="347B0968" w14:textId="1A42885A" w:rsidR="0008423C" w:rsidRPr="000B7359" w:rsidRDefault="0008423C" w:rsidP="0008423C">
      <w:pPr>
        <w:pStyle w:val="NoSpacing"/>
        <w:ind w:firstLine="1310"/>
        <w:contextualSpacing/>
        <w:rPr>
          <w:rFonts w:ascii="Times New Roman" w:hAnsi="Times New Roman" w:cs="Times New Roman"/>
          <w:sz w:val="24"/>
          <w:szCs w:val="24"/>
        </w:rPr>
      </w:pPr>
      <w:r w:rsidRPr="000B7359">
        <w:rPr>
          <w:rFonts w:ascii="Times New Roman" w:hAnsi="Times New Roman" w:cs="Times New Roman"/>
          <w:sz w:val="24"/>
          <w:szCs w:val="24"/>
          <w:u w:val="single"/>
        </w:rPr>
        <w:t>Daily Settlement Price</w:t>
      </w:r>
      <w:r w:rsidRPr="000B7359">
        <w:rPr>
          <w:rFonts w:ascii="Times New Roman" w:hAnsi="Times New Roman" w:cs="Times New Roman"/>
          <w:sz w:val="24"/>
          <w:szCs w:val="24"/>
        </w:rPr>
        <w:t>. Chapter V, Section 3 of the rulebook provides in part that the Exchange shall establish daily settlement prices at the time and using the methodology established by the Exchange as described in the contract specifications.  Further, the new rules provide that if the daily settlement price described in the rule is unavailable, the Exchange may in its sole discretion establish a daily settlement price that it deems to be a fair and reasonable reflection of the market.</w:t>
      </w:r>
      <w:r w:rsidRPr="000B7359">
        <w:rPr>
          <w:rStyle w:val="FootnoteReference"/>
          <w:rFonts w:ascii="Times New Roman" w:hAnsi="Times New Roman" w:cs="Times New Roman"/>
          <w:sz w:val="24"/>
          <w:szCs w:val="24"/>
        </w:rPr>
        <w:footnoteReference w:id="5"/>
      </w:r>
      <w:r w:rsidRPr="000B7359">
        <w:rPr>
          <w:rFonts w:ascii="Times New Roman" w:hAnsi="Times New Roman" w:cs="Times New Roman"/>
          <w:sz w:val="24"/>
          <w:szCs w:val="24"/>
        </w:rPr>
        <w:t xml:space="preserve">  </w:t>
      </w:r>
    </w:p>
    <w:p w14:paraId="347B0969" w14:textId="77777777" w:rsidR="0008423C" w:rsidRPr="000B7359" w:rsidRDefault="0008423C" w:rsidP="0008423C">
      <w:pPr>
        <w:pStyle w:val="NoSpacing"/>
        <w:ind w:firstLine="1310"/>
        <w:contextualSpacing/>
        <w:rPr>
          <w:rFonts w:ascii="Times New Roman" w:eastAsia="Calibri" w:hAnsi="Times New Roman" w:cs="Times New Roman"/>
          <w:sz w:val="24"/>
          <w:szCs w:val="24"/>
        </w:rPr>
      </w:pPr>
    </w:p>
    <w:p w14:paraId="347B096A" w14:textId="09BB863C" w:rsidR="0008423C" w:rsidRPr="000B7359" w:rsidRDefault="0008423C" w:rsidP="00D60246">
      <w:pPr>
        <w:pStyle w:val="Default"/>
        <w:ind w:firstLine="1310"/>
        <w:rPr>
          <w:color w:val="auto"/>
        </w:rPr>
      </w:pPr>
      <w:r w:rsidRPr="000B7359">
        <w:rPr>
          <w:color w:val="auto"/>
          <w:u w:val="single"/>
        </w:rPr>
        <w:t>Non-Reviewable Range</w:t>
      </w:r>
      <w:r w:rsidRPr="000B7359">
        <w:rPr>
          <w:color w:val="auto"/>
        </w:rPr>
        <w:t xml:space="preserve">. Chapter V, Section 5 of the rulebook provides that the Exchange, in its sole discretion, may in certain circumstances either cancel a transaction or adjust the execution price of a transaction in a contract that has taken place outside the non-reviewable range designated for the contract.  </w:t>
      </w:r>
      <w:r w:rsidR="00D60246" w:rsidRPr="000B7359">
        <w:rPr>
          <w:color w:val="auto"/>
        </w:rPr>
        <w:t>T</w:t>
      </w:r>
      <w:r w:rsidRPr="000B7359">
        <w:rPr>
          <w:color w:val="auto"/>
        </w:rPr>
        <w:t xml:space="preserve">he Exchange has determined to establish a non-reviewable range for </w:t>
      </w:r>
      <w:r w:rsidR="00CB62F6" w:rsidRPr="000B7359">
        <w:rPr>
          <w:bCs/>
        </w:rPr>
        <w:t xml:space="preserve">NatGas </w:t>
      </w:r>
      <w:r w:rsidR="00EB70A2">
        <w:rPr>
          <w:rFonts w:eastAsia="Calibri"/>
        </w:rPr>
        <w:t xml:space="preserve">Liquids </w:t>
      </w:r>
      <w:r w:rsidR="00CB62F6" w:rsidRPr="000B7359">
        <w:rPr>
          <w:bCs/>
        </w:rPr>
        <w:t xml:space="preserve">Futures </w:t>
      </w:r>
      <w:r w:rsidR="00D60246" w:rsidRPr="000B7359">
        <w:rPr>
          <w:color w:val="auto"/>
        </w:rPr>
        <w:t>at $</w:t>
      </w:r>
      <w:r w:rsidR="007A395D" w:rsidRPr="000B7359">
        <w:rPr>
          <w:color w:val="auto"/>
        </w:rPr>
        <w:t>0.0025</w:t>
      </w:r>
      <w:r w:rsidR="00D60246" w:rsidRPr="000B7359">
        <w:rPr>
          <w:color w:val="auto"/>
        </w:rPr>
        <w:t xml:space="preserve"> above and $</w:t>
      </w:r>
      <w:r w:rsidR="007A395D" w:rsidRPr="000B7359">
        <w:rPr>
          <w:color w:val="auto"/>
        </w:rPr>
        <w:t>.00</w:t>
      </w:r>
      <w:r w:rsidR="00D60246" w:rsidRPr="000B7359">
        <w:rPr>
          <w:color w:val="auto"/>
        </w:rPr>
        <w:t>2</w:t>
      </w:r>
      <w:r w:rsidR="007A395D" w:rsidRPr="000B7359">
        <w:rPr>
          <w:color w:val="auto"/>
        </w:rPr>
        <w:t>5</w:t>
      </w:r>
      <w:r w:rsidR="00D60246" w:rsidRPr="000B7359">
        <w:rPr>
          <w:color w:val="auto"/>
        </w:rPr>
        <w:t xml:space="preserve"> below the true market price for the contract as set forth in the Exchange’s error trade policy.</w:t>
      </w:r>
      <w:r w:rsidRPr="000B7359">
        <w:rPr>
          <w:rStyle w:val="FootnoteReference"/>
          <w:color w:val="auto"/>
        </w:rPr>
        <w:footnoteReference w:id="6"/>
      </w:r>
      <w:r w:rsidR="00BF3AF0" w:rsidRPr="000B7359">
        <w:rPr>
          <w:color w:val="auto"/>
        </w:rPr>
        <w:t xml:space="preserve">  </w:t>
      </w:r>
    </w:p>
    <w:p w14:paraId="347B096B" w14:textId="77777777" w:rsidR="0008423C" w:rsidRPr="000B7359" w:rsidRDefault="0008423C" w:rsidP="0008423C">
      <w:pPr>
        <w:pStyle w:val="Default"/>
        <w:ind w:firstLine="1310"/>
        <w:rPr>
          <w:rFonts w:eastAsia="Calibri"/>
        </w:rPr>
      </w:pPr>
      <w:r w:rsidRPr="000B7359">
        <w:rPr>
          <w:color w:val="auto"/>
        </w:rPr>
        <w:t xml:space="preserve"> </w:t>
      </w:r>
    </w:p>
    <w:p w14:paraId="347B096C" w14:textId="77777777" w:rsidR="0008423C" w:rsidRPr="000B7359" w:rsidRDefault="0008423C" w:rsidP="0008423C">
      <w:pPr>
        <w:pStyle w:val="Default"/>
        <w:ind w:left="2620"/>
        <w:rPr>
          <w:b/>
          <w:bCs/>
          <w:color w:val="auto"/>
          <w:u w:val="single"/>
        </w:rPr>
      </w:pPr>
      <w:r w:rsidRPr="000B7359">
        <w:rPr>
          <w:b/>
          <w:bCs/>
          <w:color w:val="auto"/>
        </w:rPr>
        <w:t xml:space="preserve">           </w:t>
      </w:r>
      <w:r w:rsidRPr="000B7359">
        <w:rPr>
          <w:b/>
          <w:bCs/>
          <w:color w:val="auto"/>
          <w:u w:val="single"/>
        </w:rPr>
        <w:t xml:space="preserve">DCM Core Principles </w:t>
      </w:r>
    </w:p>
    <w:p w14:paraId="347B096D" w14:textId="77777777" w:rsidR="0008423C" w:rsidRPr="000B7359" w:rsidRDefault="0008423C" w:rsidP="0008423C">
      <w:pPr>
        <w:pStyle w:val="Default"/>
        <w:ind w:left="2620"/>
        <w:rPr>
          <w:color w:val="auto"/>
        </w:rPr>
      </w:pPr>
    </w:p>
    <w:p w14:paraId="347B096E" w14:textId="77777777" w:rsidR="0008423C" w:rsidRPr="000B7359" w:rsidRDefault="0008423C" w:rsidP="0008423C">
      <w:pPr>
        <w:pStyle w:val="Default"/>
        <w:ind w:firstLine="1310"/>
        <w:rPr>
          <w:color w:val="auto"/>
        </w:rPr>
      </w:pPr>
      <w:r w:rsidRPr="000B7359">
        <w:rPr>
          <w:color w:val="auto"/>
        </w:rPr>
        <w:t>The Exchange has reviewed the designated contract market core principles (“</w:t>
      </w:r>
      <w:r w:rsidRPr="000B7359">
        <w:rPr>
          <w:color w:val="auto"/>
          <w:u w:val="single"/>
        </w:rPr>
        <w:t>Core Principles</w:t>
      </w:r>
      <w:r w:rsidRPr="000B7359">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0B7359">
          <w:rPr>
            <w:rStyle w:val="Hyperlink"/>
          </w:rPr>
          <w:t>business.nasdaq.com/futures</w:t>
        </w:r>
      </w:hyperlink>
      <w:r w:rsidRPr="000B7359">
        <w:rPr>
          <w:color w:val="auto"/>
        </w:rPr>
        <w:t>.</w:t>
      </w:r>
    </w:p>
    <w:p w14:paraId="347B096F" w14:textId="77777777" w:rsidR="0008423C" w:rsidRPr="000B7359" w:rsidRDefault="0008423C" w:rsidP="0008423C">
      <w:pPr>
        <w:pStyle w:val="Default"/>
        <w:ind w:firstLine="1310"/>
        <w:rPr>
          <w:color w:val="auto"/>
        </w:rPr>
      </w:pPr>
    </w:p>
    <w:p w14:paraId="347B0970" w14:textId="3BF86020" w:rsidR="008B041F" w:rsidRDefault="008B041F" w:rsidP="008B041F">
      <w:pPr>
        <w:pStyle w:val="Default"/>
        <w:ind w:firstLine="1310"/>
      </w:pPr>
      <w:r w:rsidRPr="000B7359">
        <w:rPr>
          <w:color w:val="auto"/>
        </w:rPr>
        <w:t xml:space="preserve">With respect to the block trade amendments set forth in </w:t>
      </w:r>
      <w:r w:rsidRPr="000B7359">
        <w:rPr>
          <w:color w:val="auto"/>
          <w:u w:val="single"/>
        </w:rPr>
        <w:t>Exhibit A</w:t>
      </w:r>
      <w:r w:rsidRPr="000B7359">
        <w:rPr>
          <w:color w:val="auto"/>
        </w:rPr>
        <w:t xml:space="preserve"> and Core Principle 9 - Execution of Transactions, the </w:t>
      </w:r>
      <w:r w:rsidR="00CB62F6" w:rsidRPr="000B7359">
        <w:rPr>
          <w:bCs/>
        </w:rPr>
        <w:t xml:space="preserve">NatGas </w:t>
      </w:r>
      <w:r w:rsidR="00EB70A2">
        <w:rPr>
          <w:rFonts w:eastAsia="Calibri"/>
        </w:rPr>
        <w:t xml:space="preserve">Liquids </w:t>
      </w:r>
      <w:r w:rsidR="00CB62F6" w:rsidRPr="000B7359">
        <w:rPr>
          <w:bCs/>
        </w:rPr>
        <w:t xml:space="preserve">Futures </w:t>
      </w:r>
      <w:r w:rsidRPr="000B7359">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CB62F6" w:rsidRPr="000B7359">
        <w:rPr>
          <w:bCs/>
        </w:rPr>
        <w:t xml:space="preserve">NatGas </w:t>
      </w:r>
      <w:r w:rsidR="00EB70A2">
        <w:rPr>
          <w:rFonts w:eastAsia="Calibri"/>
        </w:rPr>
        <w:t xml:space="preserve">Liquids </w:t>
      </w:r>
      <w:r w:rsidR="00CB62F6" w:rsidRPr="000B7359">
        <w:rPr>
          <w:bCs/>
        </w:rPr>
        <w:t>Futures</w:t>
      </w:r>
      <w:r w:rsidRPr="000B7359">
        <w:rPr>
          <w:color w:val="auto"/>
        </w:rPr>
        <w:t>.  Additionally, t</w:t>
      </w:r>
      <w:r w:rsidRPr="000B7359">
        <w:t>he new rules governing the trading hours and non-reviewable range of the New Contracts are the same as those governing existing energy futures contracts listed by the Exchange.</w:t>
      </w:r>
      <w:r w:rsidR="00F86B2E" w:rsidRPr="000B7359">
        <w:t xml:space="preserve">  </w:t>
      </w:r>
    </w:p>
    <w:p w14:paraId="3C9378F5" w14:textId="77777777" w:rsidR="008314F4" w:rsidRDefault="008314F4" w:rsidP="008B041F">
      <w:pPr>
        <w:pStyle w:val="Default"/>
        <w:ind w:firstLine="1310"/>
        <w:rPr>
          <w:rFonts w:eastAsia="Calibri"/>
        </w:rPr>
      </w:pPr>
    </w:p>
    <w:p w14:paraId="233F63F0" w14:textId="77777777" w:rsidR="004A3A69" w:rsidRDefault="004A3A69" w:rsidP="008B041F">
      <w:pPr>
        <w:pStyle w:val="Default"/>
        <w:ind w:firstLine="1310"/>
        <w:rPr>
          <w:rFonts w:eastAsia="Calibri"/>
        </w:rPr>
      </w:pPr>
    </w:p>
    <w:p w14:paraId="51E9AA34" w14:textId="77777777" w:rsidR="004A3A69" w:rsidRPr="000B7359" w:rsidRDefault="004A3A69" w:rsidP="008B041F">
      <w:pPr>
        <w:pStyle w:val="Default"/>
        <w:ind w:firstLine="1310"/>
        <w:rPr>
          <w:rFonts w:eastAsia="Calibri"/>
        </w:rPr>
      </w:pPr>
    </w:p>
    <w:p w14:paraId="347B0971" w14:textId="77777777" w:rsidR="008B041F" w:rsidRPr="000B7359" w:rsidRDefault="008B041F" w:rsidP="0008423C">
      <w:pPr>
        <w:pStyle w:val="Default"/>
        <w:ind w:left="2620"/>
        <w:rPr>
          <w:b/>
          <w:bCs/>
          <w:color w:val="auto"/>
        </w:rPr>
      </w:pPr>
    </w:p>
    <w:p w14:paraId="347B0972" w14:textId="77777777" w:rsidR="0008423C" w:rsidRPr="000B7359" w:rsidRDefault="0008423C" w:rsidP="0008423C">
      <w:pPr>
        <w:pStyle w:val="Default"/>
        <w:ind w:left="2620"/>
        <w:rPr>
          <w:b/>
          <w:bCs/>
          <w:color w:val="auto"/>
          <w:u w:val="single"/>
        </w:rPr>
      </w:pPr>
      <w:r w:rsidRPr="000B7359">
        <w:rPr>
          <w:b/>
          <w:bCs/>
          <w:color w:val="auto"/>
        </w:rPr>
        <w:lastRenderedPageBreak/>
        <w:t xml:space="preserve">           </w:t>
      </w:r>
      <w:r w:rsidRPr="000B7359">
        <w:rPr>
          <w:b/>
          <w:bCs/>
          <w:color w:val="auto"/>
          <w:u w:val="single"/>
        </w:rPr>
        <w:t xml:space="preserve">Certifications </w:t>
      </w:r>
    </w:p>
    <w:p w14:paraId="347B0973" w14:textId="77777777" w:rsidR="0008423C" w:rsidRPr="000B7359" w:rsidRDefault="0008423C" w:rsidP="0008423C">
      <w:pPr>
        <w:pStyle w:val="Default"/>
        <w:ind w:left="2620"/>
        <w:rPr>
          <w:color w:val="auto"/>
        </w:rPr>
      </w:pPr>
    </w:p>
    <w:p w14:paraId="347B0974" w14:textId="77777777" w:rsidR="0008423C" w:rsidRPr="000B7359" w:rsidRDefault="0008423C" w:rsidP="0008423C">
      <w:pPr>
        <w:pStyle w:val="PlainText"/>
        <w:ind w:firstLine="1310"/>
        <w:rPr>
          <w:rFonts w:ascii="Times New Roman" w:eastAsia="Calibri" w:hAnsi="Times New Roman"/>
          <w:sz w:val="24"/>
          <w:szCs w:val="24"/>
        </w:rPr>
      </w:pPr>
      <w:r w:rsidRPr="000B7359">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0B7359">
          <w:rPr>
            <w:rStyle w:val="Hyperlink"/>
            <w:rFonts w:ascii="Times New Roman" w:hAnsi="Times New Roman"/>
            <w:sz w:val="24"/>
            <w:szCs w:val="24"/>
          </w:rPr>
          <w:t>business.nasdaq.com/futures</w:t>
        </w:r>
      </w:hyperlink>
      <w:r w:rsidRPr="000B7359">
        <w:rPr>
          <w:rFonts w:ascii="Times New Roman" w:hAnsi="Times New Roman"/>
          <w:sz w:val="24"/>
          <w:szCs w:val="24"/>
        </w:rPr>
        <w:t>.</w:t>
      </w:r>
    </w:p>
    <w:p w14:paraId="347B0975" w14:textId="77777777" w:rsidR="0008423C" w:rsidRPr="000B7359" w:rsidRDefault="0008423C" w:rsidP="0008423C">
      <w:pPr>
        <w:pStyle w:val="NoSpacing"/>
        <w:ind w:firstLine="1310"/>
        <w:rPr>
          <w:rFonts w:ascii="Times New Roman" w:eastAsia="Calibri" w:hAnsi="Times New Roman" w:cs="Times New Roman"/>
          <w:sz w:val="24"/>
          <w:szCs w:val="24"/>
        </w:rPr>
      </w:pPr>
    </w:p>
    <w:p w14:paraId="347B0976" w14:textId="6321B867" w:rsidR="0008423C" w:rsidRPr="000B7359" w:rsidRDefault="0008423C" w:rsidP="0008423C">
      <w:pPr>
        <w:keepNext/>
        <w:spacing w:after="0" w:line="240" w:lineRule="auto"/>
        <w:ind w:firstLine="1310"/>
        <w:rPr>
          <w:rFonts w:ascii="Times New Roman" w:hAnsi="Times New Roman" w:cs="Times New Roman"/>
          <w:spacing w:val="-6"/>
          <w:sz w:val="24"/>
          <w:szCs w:val="24"/>
        </w:rPr>
      </w:pPr>
      <w:r w:rsidRPr="000B7359">
        <w:rPr>
          <w:rFonts w:ascii="Times New Roman" w:eastAsia="Calibri" w:hAnsi="Times New Roman" w:cs="Times New Roman"/>
          <w:sz w:val="24"/>
          <w:szCs w:val="24"/>
        </w:rPr>
        <w:t xml:space="preserve">If you require any additional information regarding the submission, please </w:t>
      </w:r>
      <w:r w:rsidRPr="000B7359">
        <w:rPr>
          <w:rFonts w:ascii="Times New Roman" w:hAnsi="Times New Roman" w:cs="Times New Roman"/>
          <w:sz w:val="24"/>
          <w:szCs w:val="24"/>
        </w:rPr>
        <w:t>contact</w:t>
      </w:r>
      <w:r w:rsidRPr="000B7359">
        <w:rPr>
          <w:rFonts w:ascii="Times New Roman" w:hAnsi="Times New Roman" w:cs="Times New Roman"/>
          <w:spacing w:val="-6"/>
          <w:sz w:val="24"/>
          <w:szCs w:val="24"/>
        </w:rPr>
        <w:t xml:space="preserve"> Aravind Menon at (301) 978-8416 </w:t>
      </w:r>
      <w:r w:rsidRPr="000B7359">
        <w:rPr>
          <w:rFonts w:ascii="Times New Roman" w:hAnsi="Times New Roman" w:cs="Times New Roman"/>
          <w:sz w:val="24"/>
          <w:szCs w:val="24"/>
        </w:rPr>
        <w:t>or</w:t>
      </w:r>
      <w:r w:rsidRPr="000B7359">
        <w:rPr>
          <w:rFonts w:ascii="Times New Roman" w:hAnsi="Times New Roman" w:cs="Times New Roman"/>
          <w:spacing w:val="-6"/>
          <w:sz w:val="24"/>
          <w:szCs w:val="24"/>
        </w:rPr>
        <w:t xml:space="preserve"> </w:t>
      </w:r>
      <w:r w:rsidRPr="000B7359">
        <w:rPr>
          <w:rFonts w:ascii="Times New Roman" w:hAnsi="Times New Roman" w:cs="Times New Roman"/>
          <w:sz w:val="24"/>
          <w:szCs w:val="24"/>
        </w:rPr>
        <w:t>aravind.menon@nasdaq.com</w:t>
      </w:r>
      <w:r w:rsidRPr="000B7359">
        <w:rPr>
          <w:rFonts w:ascii="Times New Roman" w:hAnsi="Times New Roman" w:cs="Times New Roman"/>
          <w:spacing w:val="-6"/>
          <w:sz w:val="24"/>
          <w:szCs w:val="24"/>
        </w:rPr>
        <w:t xml:space="preserve">.  </w:t>
      </w:r>
      <w:r w:rsidRPr="000B7359">
        <w:rPr>
          <w:rFonts w:ascii="Times New Roman" w:hAnsi="Times New Roman" w:cs="Times New Roman"/>
          <w:sz w:val="24"/>
          <w:szCs w:val="24"/>
        </w:rPr>
        <w:t>Please</w:t>
      </w:r>
      <w:r w:rsidRPr="000B7359">
        <w:rPr>
          <w:rFonts w:ascii="Times New Roman" w:hAnsi="Times New Roman" w:cs="Times New Roman"/>
          <w:spacing w:val="-6"/>
          <w:sz w:val="24"/>
          <w:szCs w:val="24"/>
        </w:rPr>
        <w:t xml:space="preserve"> </w:t>
      </w:r>
      <w:r w:rsidRPr="000B7359">
        <w:rPr>
          <w:rFonts w:ascii="Times New Roman" w:hAnsi="Times New Roman" w:cs="Times New Roman"/>
          <w:sz w:val="24"/>
          <w:szCs w:val="24"/>
        </w:rPr>
        <w:t>refer to</w:t>
      </w:r>
      <w:r w:rsidRPr="000B7359">
        <w:rPr>
          <w:rFonts w:ascii="Times New Roman" w:hAnsi="Times New Roman" w:cs="Times New Roman"/>
          <w:spacing w:val="-6"/>
          <w:sz w:val="24"/>
          <w:szCs w:val="24"/>
        </w:rPr>
        <w:t xml:space="preserve"> </w:t>
      </w:r>
      <w:r w:rsidRPr="000B7359">
        <w:rPr>
          <w:rFonts w:ascii="Times New Roman" w:hAnsi="Times New Roman" w:cs="Times New Roman"/>
          <w:sz w:val="24"/>
          <w:szCs w:val="24"/>
        </w:rPr>
        <w:t>SR-NFX-201</w:t>
      </w:r>
      <w:r w:rsidR="00CB62F6" w:rsidRPr="000B7359">
        <w:rPr>
          <w:rFonts w:ascii="Times New Roman" w:hAnsi="Times New Roman" w:cs="Times New Roman"/>
          <w:sz w:val="24"/>
          <w:szCs w:val="24"/>
        </w:rPr>
        <w:t>7</w:t>
      </w:r>
      <w:r w:rsidRPr="000B7359">
        <w:rPr>
          <w:rFonts w:ascii="Times New Roman" w:hAnsi="Times New Roman" w:cs="Times New Roman"/>
          <w:sz w:val="24"/>
          <w:szCs w:val="24"/>
        </w:rPr>
        <w:t>-</w:t>
      </w:r>
      <w:r w:rsidR="00CB62F6" w:rsidRPr="000B7359">
        <w:rPr>
          <w:rFonts w:ascii="Times New Roman" w:hAnsi="Times New Roman" w:cs="Times New Roman"/>
          <w:sz w:val="24"/>
          <w:szCs w:val="24"/>
        </w:rPr>
        <w:t xml:space="preserve">36 </w:t>
      </w:r>
      <w:r w:rsidRPr="000B7359">
        <w:rPr>
          <w:rFonts w:ascii="Times New Roman" w:eastAsia="Calibri" w:hAnsi="Times New Roman" w:cs="Times New Roman"/>
          <w:sz w:val="24"/>
          <w:szCs w:val="24"/>
        </w:rPr>
        <w:t>in any related correspondence.</w:t>
      </w:r>
      <w:r w:rsidR="00F93853" w:rsidRPr="000B7359">
        <w:rPr>
          <w:rFonts w:ascii="Times New Roman" w:eastAsia="Calibri" w:hAnsi="Times New Roman" w:cs="Times New Roman"/>
          <w:sz w:val="24"/>
          <w:szCs w:val="24"/>
        </w:rPr>
        <w:t xml:space="preserve">  </w:t>
      </w:r>
    </w:p>
    <w:p w14:paraId="347B0977" w14:textId="77777777" w:rsidR="0008423C" w:rsidRPr="000B7359" w:rsidRDefault="0008423C" w:rsidP="0008423C">
      <w:pPr>
        <w:pStyle w:val="NoSpacing"/>
        <w:keepNext/>
        <w:rPr>
          <w:rFonts w:ascii="Times New Roman" w:eastAsia="Times New Roman" w:hAnsi="Times New Roman" w:cs="Times New Roman"/>
          <w:sz w:val="24"/>
          <w:szCs w:val="24"/>
        </w:rPr>
      </w:pPr>
    </w:p>
    <w:p w14:paraId="347B0978" w14:textId="27CBB2DA" w:rsidR="0008423C" w:rsidRPr="000B7359" w:rsidRDefault="0008423C" w:rsidP="0008423C">
      <w:pPr>
        <w:pStyle w:val="NoSpacing"/>
        <w:keepNext/>
        <w:rPr>
          <w:rFonts w:ascii="Times New Roman" w:eastAsia="Calibri" w:hAnsi="Times New Roman" w:cs="Times New Roman"/>
          <w:sz w:val="24"/>
          <w:szCs w:val="24"/>
        </w:rPr>
      </w:pPr>
    </w:p>
    <w:p w14:paraId="347B0979" w14:textId="4C9916C2" w:rsidR="0008423C" w:rsidRPr="000B7359" w:rsidRDefault="004A3A69" w:rsidP="0008423C">
      <w:pPr>
        <w:pStyle w:val="NoSpacing"/>
        <w:keepNext/>
        <w:ind w:left="2880" w:firstLine="720"/>
        <w:rPr>
          <w:rFonts w:ascii="Times New Roman" w:eastAsia="Calibri" w:hAnsi="Times New Roman" w:cs="Times New Roman"/>
          <w:sz w:val="24"/>
          <w:szCs w:val="24"/>
        </w:rPr>
      </w:pPr>
      <w:r w:rsidRPr="000B7359">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47B0987" wp14:editId="7E9F6EFB">
            <wp:simplePos x="0" y="0"/>
            <wp:positionH relativeFrom="column">
              <wp:posOffset>2087517</wp:posOffset>
            </wp:positionH>
            <wp:positionV relativeFrom="paragraph">
              <wp:posOffset>59055</wp:posOffset>
            </wp:positionV>
            <wp:extent cx="28860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r w:rsidR="0008423C" w:rsidRPr="000B7359">
        <w:rPr>
          <w:rFonts w:ascii="Times New Roman" w:eastAsia="Calibri" w:hAnsi="Times New Roman" w:cs="Times New Roman"/>
          <w:sz w:val="24"/>
          <w:szCs w:val="24"/>
        </w:rPr>
        <w:t>Regards,</w:t>
      </w:r>
    </w:p>
    <w:p w14:paraId="347B097A" w14:textId="77777777" w:rsidR="0008423C" w:rsidRPr="000B7359" w:rsidRDefault="0008423C" w:rsidP="0008423C">
      <w:pPr>
        <w:pStyle w:val="NoSpacing"/>
        <w:keepNext/>
        <w:ind w:left="2880" w:firstLine="720"/>
        <w:rPr>
          <w:rFonts w:ascii="Times New Roman" w:hAnsi="Times New Roman" w:cs="Times New Roman"/>
          <w:sz w:val="24"/>
          <w:szCs w:val="24"/>
        </w:rPr>
      </w:pPr>
    </w:p>
    <w:p w14:paraId="347B097B" w14:textId="77777777" w:rsidR="0008423C" w:rsidRPr="000B7359" w:rsidRDefault="0008423C" w:rsidP="0008423C">
      <w:pPr>
        <w:pStyle w:val="NoSpacing"/>
        <w:keepNext/>
        <w:ind w:left="2880" w:firstLine="720"/>
        <w:rPr>
          <w:rFonts w:ascii="Times New Roman" w:eastAsia="Calibri" w:hAnsi="Times New Roman" w:cs="Times New Roman"/>
          <w:sz w:val="24"/>
          <w:szCs w:val="24"/>
        </w:rPr>
      </w:pPr>
    </w:p>
    <w:p w14:paraId="0C3379B1" w14:textId="77777777" w:rsidR="004A3A69" w:rsidRDefault="004A3A69" w:rsidP="0008423C">
      <w:pPr>
        <w:pStyle w:val="NoSpacing"/>
        <w:keepNext/>
        <w:ind w:left="2880" w:firstLine="720"/>
        <w:rPr>
          <w:rFonts w:ascii="Times New Roman" w:eastAsia="Calibri" w:hAnsi="Times New Roman" w:cs="Times New Roman"/>
          <w:sz w:val="24"/>
          <w:szCs w:val="24"/>
        </w:rPr>
      </w:pPr>
    </w:p>
    <w:p w14:paraId="347B097C" w14:textId="77777777" w:rsidR="0008423C" w:rsidRPr="000B7359" w:rsidRDefault="0008423C" w:rsidP="0008423C">
      <w:pPr>
        <w:pStyle w:val="NoSpacing"/>
        <w:keepNext/>
        <w:ind w:left="2880" w:firstLine="720"/>
        <w:rPr>
          <w:rFonts w:ascii="Times New Roman" w:eastAsia="Calibri" w:hAnsi="Times New Roman" w:cs="Times New Roman"/>
          <w:sz w:val="24"/>
          <w:szCs w:val="24"/>
        </w:rPr>
      </w:pPr>
      <w:r w:rsidRPr="000B7359">
        <w:rPr>
          <w:rFonts w:ascii="Times New Roman" w:eastAsia="Calibri" w:hAnsi="Times New Roman" w:cs="Times New Roman"/>
          <w:sz w:val="24"/>
          <w:szCs w:val="24"/>
        </w:rPr>
        <w:t>Daniel R. Carrigan</w:t>
      </w:r>
    </w:p>
    <w:p w14:paraId="347B097D" w14:textId="77777777" w:rsidR="0008423C" w:rsidRPr="000B7359" w:rsidRDefault="0008423C" w:rsidP="0008423C">
      <w:pPr>
        <w:pStyle w:val="NoSpacing"/>
        <w:ind w:left="2880" w:firstLine="720"/>
        <w:rPr>
          <w:rFonts w:ascii="Times New Roman" w:eastAsia="Calibri" w:hAnsi="Times New Roman" w:cs="Times New Roman"/>
          <w:sz w:val="24"/>
          <w:szCs w:val="24"/>
        </w:rPr>
      </w:pPr>
      <w:r w:rsidRPr="000B7359">
        <w:rPr>
          <w:rFonts w:ascii="Times New Roman" w:eastAsia="Calibri" w:hAnsi="Times New Roman" w:cs="Times New Roman"/>
          <w:sz w:val="24"/>
          <w:szCs w:val="24"/>
        </w:rPr>
        <w:t>President</w:t>
      </w:r>
    </w:p>
    <w:p w14:paraId="347B097E" w14:textId="77777777" w:rsidR="0008423C" w:rsidRPr="000B7359" w:rsidRDefault="0008423C" w:rsidP="0008423C">
      <w:pPr>
        <w:pStyle w:val="NoSpacing"/>
        <w:rPr>
          <w:rFonts w:ascii="Times New Roman" w:eastAsia="Calibri" w:hAnsi="Times New Roman" w:cs="Times New Roman"/>
          <w:sz w:val="24"/>
          <w:szCs w:val="24"/>
        </w:rPr>
      </w:pPr>
    </w:p>
    <w:p w14:paraId="347B097F" w14:textId="77777777" w:rsidR="0008423C" w:rsidRPr="000B7359" w:rsidRDefault="0008423C" w:rsidP="0008423C">
      <w:pPr>
        <w:pStyle w:val="NoSpacing"/>
        <w:rPr>
          <w:rFonts w:ascii="Times New Roman" w:eastAsia="Calibri" w:hAnsi="Times New Roman" w:cs="Times New Roman"/>
          <w:sz w:val="24"/>
          <w:szCs w:val="24"/>
        </w:rPr>
      </w:pPr>
    </w:p>
    <w:p w14:paraId="347B0980" w14:textId="77777777" w:rsidR="0008423C" w:rsidRPr="000B7359" w:rsidRDefault="0008423C" w:rsidP="0008423C">
      <w:pPr>
        <w:spacing w:after="0" w:line="240" w:lineRule="auto"/>
        <w:rPr>
          <w:rFonts w:ascii="Times New Roman" w:hAnsi="Times New Roman" w:cs="Times New Roman"/>
          <w:sz w:val="24"/>
          <w:szCs w:val="24"/>
        </w:rPr>
      </w:pPr>
      <w:r w:rsidRPr="000B7359">
        <w:rPr>
          <w:rFonts w:ascii="Times New Roman" w:hAnsi="Times New Roman" w:cs="Times New Roman"/>
          <w:sz w:val="24"/>
          <w:szCs w:val="24"/>
        </w:rPr>
        <w:t xml:space="preserve">Attachments: </w:t>
      </w:r>
    </w:p>
    <w:p w14:paraId="347B0981" w14:textId="77777777" w:rsidR="0008423C" w:rsidRPr="000B7359" w:rsidRDefault="0008423C" w:rsidP="0008423C">
      <w:pPr>
        <w:spacing w:after="0" w:line="240" w:lineRule="auto"/>
        <w:rPr>
          <w:rFonts w:ascii="Times New Roman" w:hAnsi="Times New Roman" w:cs="Times New Roman"/>
          <w:sz w:val="24"/>
          <w:szCs w:val="24"/>
        </w:rPr>
      </w:pPr>
    </w:p>
    <w:p w14:paraId="347B0982" w14:textId="77777777" w:rsidR="00D60246" w:rsidRPr="00E1206A" w:rsidRDefault="0008423C" w:rsidP="00D60246">
      <w:pPr>
        <w:spacing w:after="0" w:line="240" w:lineRule="auto"/>
        <w:rPr>
          <w:rFonts w:ascii="Times New Roman" w:hAnsi="Times New Roman" w:cs="Times New Roman"/>
          <w:sz w:val="24"/>
          <w:szCs w:val="24"/>
        </w:rPr>
      </w:pPr>
      <w:r w:rsidRPr="000B7359">
        <w:rPr>
          <w:rFonts w:ascii="Times New Roman" w:hAnsi="Times New Roman" w:cs="Times New Roman"/>
          <w:sz w:val="24"/>
          <w:szCs w:val="24"/>
        </w:rPr>
        <w:t xml:space="preserve">  </w:t>
      </w:r>
      <w:r w:rsidRPr="000B7359">
        <w:rPr>
          <w:rFonts w:ascii="Times New Roman" w:hAnsi="Times New Roman" w:cs="Times New Roman"/>
          <w:sz w:val="24"/>
          <w:szCs w:val="24"/>
          <w:u w:val="single"/>
        </w:rPr>
        <w:t xml:space="preserve">Exhibit </w:t>
      </w:r>
      <w:r w:rsidR="005A08AE" w:rsidRPr="000B7359">
        <w:rPr>
          <w:rFonts w:ascii="Times New Roman" w:hAnsi="Times New Roman" w:cs="Times New Roman"/>
          <w:sz w:val="24"/>
          <w:szCs w:val="24"/>
          <w:u w:val="single"/>
        </w:rPr>
        <w:t>A</w:t>
      </w:r>
      <w:r w:rsidRPr="000B7359">
        <w:rPr>
          <w:rFonts w:ascii="Times New Roman" w:hAnsi="Times New Roman" w:cs="Times New Roman"/>
          <w:sz w:val="24"/>
          <w:szCs w:val="24"/>
        </w:rPr>
        <w:t>:</w:t>
      </w:r>
      <w:r w:rsidRPr="000B7359">
        <w:rPr>
          <w:rFonts w:ascii="Times New Roman" w:hAnsi="Times New Roman" w:cs="Times New Roman"/>
          <w:sz w:val="24"/>
          <w:szCs w:val="24"/>
        </w:rPr>
        <w:tab/>
        <w:t xml:space="preserve"> Amendments to Rulebook Appendix A – Listed Contracts</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5EAA1" w14:textId="77777777" w:rsidR="001D58EB" w:rsidRDefault="001D58EB" w:rsidP="0008423C">
      <w:pPr>
        <w:spacing w:after="0" w:line="240" w:lineRule="auto"/>
      </w:pPr>
      <w:r>
        <w:separator/>
      </w:r>
    </w:p>
  </w:endnote>
  <w:endnote w:type="continuationSeparator" w:id="0">
    <w:p w14:paraId="2E0A611B" w14:textId="77777777" w:rsidR="001D58EB" w:rsidRDefault="001D58EB"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4E888" w14:textId="77777777" w:rsidR="001D58EB" w:rsidRDefault="001D58EB" w:rsidP="0008423C">
      <w:pPr>
        <w:spacing w:after="0" w:line="240" w:lineRule="auto"/>
      </w:pPr>
      <w:r>
        <w:separator/>
      </w:r>
    </w:p>
  </w:footnote>
  <w:footnote w:type="continuationSeparator" w:id="0">
    <w:p w14:paraId="0DCF2840" w14:textId="77777777" w:rsidR="001D58EB" w:rsidRDefault="001D58EB" w:rsidP="0008423C">
      <w:pPr>
        <w:spacing w:after="0" w:line="240" w:lineRule="auto"/>
      </w:pPr>
      <w:r>
        <w:continuationSeparator/>
      </w:r>
    </w:p>
  </w:footnote>
  <w:footnote w:id="1">
    <w:p w14:paraId="347B099D" w14:textId="46A84951" w:rsidR="0008423C" w:rsidRPr="00EB70A2" w:rsidRDefault="0008423C" w:rsidP="0008423C">
      <w:pPr>
        <w:pStyle w:val="FootnoteText"/>
        <w:rPr>
          <w:rFonts w:ascii="Times New Roman" w:hAnsi="Times New Roman" w:cs="Times New Roman"/>
        </w:rPr>
      </w:pPr>
      <w:r w:rsidRPr="00EB70A2">
        <w:rPr>
          <w:rStyle w:val="FootnoteReference"/>
          <w:rFonts w:ascii="Times New Roman" w:hAnsi="Times New Roman" w:cs="Times New Roman"/>
        </w:rPr>
        <w:footnoteRef/>
      </w:r>
      <w:r w:rsidRPr="00EB70A2">
        <w:rPr>
          <w:rFonts w:ascii="Times New Roman" w:hAnsi="Times New Roman" w:cs="Times New Roman"/>
        </w:rPr>
        <w:t xml:space="preserve"> </w:t>
      </w:r>
      <w:r w:rsidRPr="00EB70A2">
        <w:rPr>
          <w:rFonts w:ascii="Times New Roman" w:hAnsi="Times New Roman" w:cs="Times New Roman"/>
        </w:rPr>
        <w:tab/>
        <w:t xml:space="preserve">The Exchange is </w:t>
      </w:r>
      <w:r w:rsidRPr="00EB70A2">
        <w:rPr>
          <w:rFonts w:ascii="Times New Roman" w:hAnsi="Times New Roman" w:cs="Times New Roman"/>
          <w:u w:val="single"/>
        </w:rPr>
        <w:t>separately</w:t>
      </w:r>
      <w:r w:rsidRPr="00EB70A2">
        <w:rPr>
          <w:rFonts w:ascii="Times New Roman" w:hAnsi="Times New Roman" w:cs="Times New Roman"/>
        </w:rPr>
        <w:t xml:space="preserve"> filing the 1st Line Options’ ter</w:t>
      </w:r>
      <w:r w:rsidR="007A395D" w:rsidRPr="00EB70A2">
        <w:rPr>
          <w:rFonts w:ascii="Times New Roman" w:hAnsi="Times New Roman" w:cs="Times New Roman"/>
        </w:rPr>
        <w:t>ms and conditions in SR-NFX-2017</w:t>
      </w:r>
      <w:r w:rsidRPr="00EB70A2">
        <w:rPr>
          <w:rFonts w:ascii="Times New Roman" w:hAnsi="Times New Roman" w:cs="Times New Roman"/>
        </w:rPr>
        <w:t>-</w:t>
      </w:r>
      <w:r w:rsidR="007A395D" w:rsidRPr="00EB70A2">
        <w:rPr>
          <w:rFonts w:ascii="Times New Roman" w:hAnsi="Times New Roman" w:cs="Times New Roman"/>
        </w:rPr>
        <w:t xml:space="preserve">35 </w:t>
      </w:r>
      <w:r w:rsidRPr="00EB70A2">
        <w:rPr>
          <w:rFonts w:ascii="Times New Roman" w:hAnsi="Times New Roman" w:cs="Times New Roman"/>
        </w:rPr>
        <w:t xml:space="preserve">pursuant to Commission Rule 40.2.  </w:t>
      </w:r>
      <w:r w:rsidR="00317C2C" w:rsidRPr="00EB70A2">
        <w:rPr>
          <w:rFonts w:ascii="Times New Roman" w:hAnsi="Times New Roman" w:cs="Times New Roman"/>
        </w:rPr>
        <w:t>C</w:t>
      </w:r>
      <w:r w:rsidRPr="00EB70A2">
        <w:rPr>
          <w:rFonts w:ascii="Times New Roman" w:hAnsi="Times New Roman" w:cs="Times New Roman"/>
        </w:rPr>
        <w:t>ertain additional language separately certified in SR-NFX-201</w:t>
      </w:r>
      <w:r w:rsidR="007A395D" w:rsidRPr="00EB70A2">
        <w:rPr>
          <w:rFonts w:ascii="Times New Roman" w:hAnsi="Times New Roman" w:cs="Times New Roman"/>
        </w:rPr>
        <w:t>7</w:t>
      </w:r>
      <w:r w:rsidRPr="00EB70A2">
        <w:rPr>
          <w:rFonts w:ascii="Times New Roman" w:hAnsi="Times New Roman" w:cs="Times New Roman"/>
        </w:rPr>
        <w:t>-</w:t>
      </w:r>
      <w:r w:rsidR="007A395D" w:rsidRPr="00EB70A2">
        <w:rPr>
          <w:rFonts w:ascii="Times New Roman" w:hAnsi="Times New Roman" w:cs="Times New Roman"/>
        </w:rPr>
        <w:t xml:space="preserve">35 </w:t>
      </w:r>
      <w:r w:rsidRPr="00EB70A2">
        <w:rPr>
          <w:rFonts w:ascii="Times New Roman" w:hAnsi="Times New Roman" w:cs="Times New Roman"/>
        </w:rPr>
        <w:t xml:space="preserve">is not duplicated in </w:t>
      </w:r>
      <w:r w:rsidR="00317C2C" w:rsidRPr="00EB70A2">
        <w:rPr>
          <w:rFonts w:ascii="Times New Roman" w:hAnsi="Times New Roman" w:cs="Times New Roman"/>
          <w:u w:val="single"/>
        </w:rPr>
        <w:t>Exhibit A</w:t>
      </w:r>
      <w:r w:rsidRPr="00EB70A2">
        <w:rPr>
          <w:rFonts w:ascii="Times New Roman" w:hAnsi="Times New Roman" w:cs="Times New Roman"/>
        </w:rPr>
        <w:t xml:space="preserve"> hereto but is instead, for purposes of brevity, represented by asterisks.</w:t>
      </w:r>
    </w:p>
    <w:p w14:paraId="347B099E" w14:textId="77777777" w:rsidR="0008423C" w:rsidRPr="00EB70A2" w:rsidRDefault="0008423C" w:rsidP="0008423C">
      <w:pPr>
        <w:pStyle w:val="FootnoteText"/>
        <w:rPr>
          <w:rFonts w:ascii="Times New Roman" w:hAnsi="Times New Roman" w:cs="Times New Roman"/>
        </w:rPr>
      </w:pPr>
    </w:p>
  </w:footnote>
  <w:footnote w:id="2">
    <w:p w14:paraId="347B099F" w14:textId="77777777" w:rsidR="0008423C" w:rsidRPr="00EB70A2" w:rsidRDefault="0008423C" w:rsidP="0008423C">
      <w:pPr>
        <w:rPr>
          <w:rFonts w:ascii="Times New Roman" w:hAnsi="Times New Roman" w:cs="Times New Roman"/>
          <w:sz w:val="20"/>
          <w:szCs w:val="20"/>
        </w:rPr>
      </w:pPr>
      <w:r w:rsidRPr="00EB70A2">
        <w:rPr>
          <w:rStyle w:val="FootnoteReference"/>
          <w:rFonts w:ascii="Times New Roman" w:hAnsi="Times New Roman" w:cs="Times New Roman"/>
          <w:sz w:val="20"/>
          <w:szCs w:val="20"/>
        </w:rPr>
        <w:footnoteRef/>
      </w:r>
      <w:r w:rsidRPr="00EB70A2">
        <w:rPr>
          <w:rFonts w:ascii="Times New Roman" w:hAnsi="Times New Roman" w:cs="Times New Roman"/>
          <w:sz w:val="20"/>
          <w:szCs w:val="20"/>
        </w:rPr>
        <w:t xml:space="preserve"> </w:t>
      </w:r>
      <w:r w:rsidRPr="00EB70A2">
        <w:rPr>
          <w:rFonts w:ascii="Times New Roman" w:hAnsi="Times New Roman" w:cs="Times New Roman"/>
          <w:sz w:val="20"/>
          <w:szCs w:val="20"/>
        </w:rPr>
        <w:tab/>
      </w:r>
      <w:r w:rsidRPr="00EB70A2">
        <w:rPr>
          <w:rFonts w:ascii="Times New Roman" w:hAnsi="Times New Roman" w:cs="Times New Roman"/>
          <w:sz w:val="20"/>
          <w:szCs w:val="20"/>
          <w:u w:val="single"/>
        </w:rPr>
        <w:t>See</w:t>
      </w:r>
      <w:r w:rsidRPr="00EB70A2">
        <w:rPr>
          <w:rFonts w:ascii="Times New Roman" w:hAnsi="Times New Roman" w:cs="Times New Roman"/>
          <w:sz w:val="20"/>
          <w:szCs w:val="20"/>
        </w:rPr>
        <w:t xml:space="preserve"> </w:t>
      </w:r>
      <w:r w:rsidR="00F86B2E" w:rsidRPr="00EB70A2">
        <w:rPr>
          <w:rFonts w:ascii="Times New Roman" w:hAnsi="Times New Roman" w:cs="Times New Roman"/>
          <w:sz w:val="20"/>
          <w:szCs w:val="20"/>
        </w:rPr>
        <w:t>R</w:t>
      </w:r>
      <w:r w:rsidR="00F93853" w:rsidRPr="00EB70A2">
        <w:rPr>
          <w:rFonts w:ascii="Times New Roman" w:hAnsi="Times New Roman" w:cs="Times New Roman"/>
          <w:sz w:val="20"/>
          <w:szCs w:val="20"/>
        </w:rPr>
        <w:t xml:space="preserve">ule </w:t>
      </w:r>
      <w:r w:rsidR="00F86B2E" w:rsidRPr="00EB70A2">
        <w:rPr>
          <w:rFonts w:ascii="Times New Roman" w:hAnsi="Times New Roman" w:cs="Times New Roman"/>
          <w:sz w:val="20"/>
          <w:szCs w:val="20"/>
        </w:rPr>
        <w:t xml:space="preserve">X.06, </w:t>
      </w:r>
      <w:r w:rsidR="00D327C6" w:rsidRPr="00EB70A2">
        <w:rPr>
          <w:rFonts w:ascii="Times New Roman" w:hAnsi="Times New Roman" w:cs="Times New Roman"/>
          <w:sz w:val="20"/>
          <w:szCs w:val="20"/>
        </w:rPr>
        <w:t>Final and Daily Settlement and Settlement Prices for each of the new contract</w:t>
      </w:r>
      <w:r w:rsidR="00F93853" w:rsidRPr="00EB70A2">
        <w:rPr>
          <w:rFonts w:ascii="Times New Roman" w:hAnsi="Times New Roman" w:cs="Times New Roman"/>
          <w:sz w:val="20"/>
          <w:szCs w:val="20"/>
        </w:rPr>
        <w:t>s</w:t>
      </w:r>
      <w:r w:rsidR="00D327C6" w:rsidRPr="00EB70A2">
        <w:rPr>
          <w:rFonts w:ascii="Times New Roman" w:hAnsi="Times New Roman" w:cs="Times New Roman"/>
          <w:sz w:val="20"/>
          <w:szCs w:val="20"/>
        </w:rPr>
        <w:t xml:space="preserve"> certified in Exhibit A.  </w:t>
      </w:r>
    </w:p>
  </w:footnote>
  <w:footnote w:id="3">
    <w:p w14:paraId="347B09A0" w14:textId="77777777" w:rsidR="0008423C" w:rsidRPr="00EB70A2" w:rsidRDefault="0008423C" w:rsidP="0008423C">
      <w:pPr>
        <w:pStyle w:val="FootnoteText"/>
        <w:rPr>
          <w:rFonts w:ascii="Times New Roman" w:hAnsi="Times New Roman" w:cs="Times New Roman"/>
        </w:rPr>
      </w:pPr>
      <w:r w:rsidRPr="00EB70A2">
        <w:rPr>
          <w:rStyle w:val="FootnoteReference"/>
          <w:rFonts w:ascii="Times New Roman" w:hAnsi="Times New Roman" w:cs="Times New Roman"/>
        </w:rPr>
        <w:footnoteRef/>
      </w:r>
      <w:r w:rsidRPr="00EB70A2">
        <w:rPr>
          <w:rFonts w:ascii="Times New Roman" w:hAnsi="Times New Roman" w:cs="Times New Roman"/>
        </w:rPr>
        <w:t xml:space="preserve"> </w:t>
      </w:r>
      <w:r w:rsidRPr="00EB70A2">
        <w:rPr>
          <w:rFonts w:ascii="Times New Roman" w:hAnsi="Times New Roman" w:cs="Times New Roman"/>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EB70A2" w:rsidRDefault="0008423C" w:rsidP="0008423C">
      <w:pPr>
        <w:pStyle w:val="FootnoteText"/>
        <w:rPr>
          <w:rFonts w:ascii="Times New Roman" w:hAnsi="Times New Roman" w:cs="Times New Roman"/>
        </w:rPr>
      </w:pPr>
    </w:p>
  </w:footnote>
  <w:footnote w:id="4">
    <w:p w14:paraId="347B09A2" w14:textId="77777777" w:rsidR="0008423C" w:rsidRPr="00EB70A2" w:rsidRDefault="0008423C" w:rsidP="00E1206A">
      <w:pPr>
        <w:pStyle w:val="NoSpacing"/>
        <w:rPr>
          <w:rFonts w:ascii="Times New Roman" w:hAnsi="Times New Roman" w:cs="Times New Roman"/>
          <w:sz w:val="20"/>
          <w:szCs w:val="20"/>
        </w:rPr>
      </w:pPr>
      <w:r w:rsidRPr="00EB70A2">
        <w:rPr>
          <w:rStyle w:val="FootnoteReference"/>
          <w:rFonts w:ascii="Times New Roman" w:hAnsi="Times New Roman" w:cs="Times New Roman"/>
          <w:sz w:val="20"/>
          <w:szCs w:val="20"/>
        </w:rPr>
        <w:footnoteRef/>
      </w:r>
      <w:r w:rsidRPr="00EB70A2">
        <w:rPr>
          <w:rFonts w:ascii="Times New Roman" w:hAnsi="Times New Roman" w:cs="Times New Roman"/>
          <w:sz w:val="20"/>
          <w:szCs w:val="20"/>
        </w:rPr>
        <w:t xml:space="preserve"> </w:t>
      </w:r>
      <w:r w:rsidRPr="00EB70A2">
        <w:rPr>
          <w:rFonts w:ascii="Times New Roman" w:hAnsi="Times New Roman" w:cs="Times New Roman"/>
          <w:sz w:val="20"/>
          <w:szCs w:val="20"/>
        </w:rPr>
        <w:tab/>
      </w:r>
      <w:r w:rsidR="00E1206A" w:rsidRPr="00EB70A2">
        <w:rPr>
          <w:rFonts w:ascii="Times New Roman" w:hAnsi="Times New Roman" w:cs="Times New Roman"/>
          <w:sz w:val="20"/>
          <w:szCs w:val="20"/>
          <w:u w:val="single"/>
        </w:rPr>
        <w:t>See</w:t>
      </w:r>
      <w:r w:rsidR="00F86B2E" w:rsidRPr="00EB70A2">
        <w:rPr>
          <w:rFonts w:ascii="Times New Roman" w:hAnsi="Times New Roman" w:cs="Times New Roman"/>
          <w:sz w:val="20"/>
          <w:szCs w:val="20"/>
        </w:rPr>
        <w:t xml:space="preserve"> R</w:t>
      </w:r>
      <w:r w:rsidR="00E1206A" w:rsidRPr="00EB70A2">
        <w:rPr>
          <w:rFonts w:ascii="Times New Roman" w:hAnsi="Times New Roman" w:cs="Times New Roman"/>
          <w:sz w:val="20"/>
          <w:szCs w:val="20"/>
        </w:rPr>
        <w:t xml:space="preserve">ule </w:t>
      </w:r>
      <w:r w:rsidR="00F86B2E" w:rsidRPr="00EB70A2">
        <w:rPr>
          <w:rFonts w:ascii="Times New Roman" w:hAnsi="Times New Roman" w:cs="Times New Roman"/>
          <w:sz w:val="20"/>
          <w:szCs w:val="20"/>
        </w:rPr>
        <w:t xml:space="preserve">X.08, </w:t>
      </w:r>
      <w:r w:rsidR="00E1206A" w:rsidRPr="00EB70A2">
        <w:rPr>
          <w:rFonts w:ascii="Times New Roman" w:hAnsi="Times New Roman" w:cs="Times New Roman"/>
          <w:sz w:val="20"/>
          <w:szCs w:val="20"/>
        </w:rPr>
        <w:t>Block Trade Minimum Quantity Threshold and Reporting Window for each of the new NYISO Futures attached as Exhibit A</w:t>
      </w:r>
      <w:r w:rsidRPr="00EB70A2">
        <w:rPr>
          <w:rFonts w:ascii="Times New Roman" w:eastAsia="Times New Roman" w:hAnsi="Times New Roman" w:cs="Times New Roman"/>
          <w:bCs/>
          <w:sz w:val="20"/>
          <w:szCs w:val="20"/>
        </w:rPr>
        <w:t>.</w:t>
      </w:r>
    </w:p>
    <w:p w14:paraId="347B09A3" w14:textId="77777777" w:rsidR="0008423C" w:rsidRPr="00EB70A2" w:rsidRDefault="0008423C" w:rsidP="0008423C">
      <w:pPr>
        <w:pStyle w:val="FootnoteText"/>
      </w:pPr>
    </w:p>
  </w:footnote>
  <w:footnote w:id="5">
    <w:p w14:paraId="347B09A4" w14:textId="428C87B6" w:rsidR="0008423C" w:rsidRPr="00EB70A2" w:rsidRDefault="0008423C" w:rsidP="0008423C">
      <w:pPr>
        <w:pStyle w:val="NoSpacing"/>
        <w:rPr>
          <w:rFonts w:ascii="Times New Roman" w:hAnsi="Times New Roman" w:cs="Times New Roman"/>
          <w:sz w:val="20"/>
          <w:szCs w:val="20"/>
        </w:rPr>
      </w:pPr>
      <w:r w:rsidRPr="00EB70A2">
        <w:rPr>
          <w:rStyle w:val="FootnoteReference"/>
          <w:rFonts w:ascii="Times New Roman" w:hAnsi="Times New Roman" w:cs="Times New Roman"/>
          <w:sz w:val="20"/>
          <w:szCs w:val="20"/>
        </w:rPr>
        <w:footnoteRef/>
      </w:r>
      <w:r w:rsidRPr="00EB70A2">
        <w:rPr>
          <w:sz w:val="20"/>
          <w:szCs w:val="20"/>
        </w:rPr>
        <w:t xml:space="preserve"> </w:t>
      </w:r>
      <w:r w:rsidRPr="00EB70A2">
        <w:rPr>
          <w:sz w:val="20"/>
          <w:szCs w:val="20"/>
        </w:rPr>
        <w:tab/>
      </w:r>
      <w:r w:rsidRPr="00EB70A2">
        <w:rPr>
          <w:rFonts w:ascii="Times New Roman" w:hAnsi="Times New Roman" w:cs="Times New Roman"/>
          <w:sz w:val="20"/>
          <w:szCs w:val="20"/>
          <w:u w:val="single"/>
        </w:rPr>
        <w:t>See</w:t>
      </w:r>
      <w:r w:rsidRPr="00EB70A2">
        <w:rPr>
          <w:rFonts w:ascii="Times New Roman" w:hAnsi="Times New Roman" w:cs="Times New Roman"/>
          <w:sz w:val="20"/>
          <w:szCs w:val="20"/>
        </w:rPr>
        <w:t xml:space="preserve"> </w:t>
      </w:r>
      <w:r w:rsidR="00D60246" w:rsidRPr="00EB70A2">
        <w:rPr>
          <w:rFonts w:ascii="Times New Roman" w:hAnsi="Times New Roman" w:cs="Times New Roman"/>
          <w:sz w:val="20"/>
          <w:szCs w:val="20"/>
        </w:rPr>
        <w:t>Rule</w:t>
      </w:r>
      <w:r w:rsidR="00F86B2E" w:rsidRPr="00EB70A2">
        <w:rPr>
          <w:rFonts w:ascii="Times New Roman" w:hAnsi="Times New Roman" w:cs="Times New Roman"/>
          <w:sz w:val="20"/>
          <w:szCs w:val="20"/>
        </w:rPr>
        <w:t xml:space="preserve"> X.06, </w:t>
      </w:r>
      <w:r w:rsidR="00D60246" w:rsidRPr="00EB70A2">
        <w:rPr>
          <w:rFonts w:ascii="Times New Roman" w:hAnsi="Times New Roman" w:cs="Times New Roman"/>
          <w:sz w:val="20"/>
          <w:szCs w:val="20"/>
        </w:rPr>
        <w:t xml:space="preserve">Final and Daily Settlement and Settlement Prices for </w:t>
      </w:r>
      <w:r w:rsidR="00E1206A" w:rsidRPr="00EB70A2">
        <w:rPr>
          <w:rFonts w:ascii="Times New Roman" w:hAnsi="Times New Roman" w:cs="Times New Roman"/>
          <w:sz w:val="20"/>
          <w:szCs w:val="20"/>
        </w:rPr>
        <w:t xml:space="preserve">each of </w:t>
      </w:r>
      <w:r w:rsidR="00D60246" w:rsidRPr="00EB70A2">
        <w:rPr>
          <w:rFonts w:ascii="Times New Roman" w:hAnsi="Times New Roman" w:cs="Times New Roman"/>
          <w:sz w:val="20"/>
          <w:szCs w:val="20"/>
        </w:rPr>
        <w:t xml:space="preserve">the </w:t>
      </w:r>
      <w:r w:rsidR="00CB62F6" w:rsidRPr="00EB70A2">
        <w:rPr>
          <w:rFonts w:ascii="Times New Roman" w:eastAsia="Times New Roman" w:hAnsi="Times New Roman" w:cs="Times New Roman"/>
          <w:bCs/>
          <w:sz w:val="20"/>
          <w:szCs w:val="20"/>
        </w:rPr>
        <w:t xml:space="preserve">NatGas </w:t>
      </w:r>
      <w:r w:rsidR="00EB70A2" w:rsidRPr="00EB70A2">
        <w:rPr>
          <w:rFonts w:ascii="Times New Roman" w:eastAsia="Calibri" w:hAnsi="Times New Roman" w:cs="Times New Roman"/>
          <w:sz w:val="20"/>
          <w:szCs w:val="20"/>
        </w:rPr>
        <w:t xml:space="preserve">Liquids </w:t>
      </w:r>
      <w:r w:rsidR="00CB62F6" w:rsidRPr="00EB70A2">
        <w:rPr>
          <w:rFonts w:ascii="Times New Roman" w:eastAsia="Times New Roman" w:hAnsi="Times New Roman" w:cs="Times New Roman"/>
          <w:bCs/>
          <w:sz w:val="20"/>
          <w:szCs w:val="20"/>
        </w:rPr>
        <w:t xml:space="preserve">Futures </w:t>
      </w:r>
      <w:r w:rsidR="00D60246" w:rsidRPr="00EB70A2">
        <w:rPr>
          <w:rFonts w:ascii="Times New Roman" w:hAnsi="Times New Roman" w:cs="Times New Roman"/>
          <w:sz w:val="20"/>
          <w:szCs w:val="20"/>
        </w:rPr>
        <w:t>attached as Exhibit A.</w:t>
      </w:r>
    </w:p>
    <w:p w14:paraId="347B09A5" w14:textId="77777777" w:rsidR="00D60246" w:rsidRPr="00EB70A2" w:rsidRDefault="00D60246" w:rsidP="0008423C">
      <w:pPr>
        <w:pStyle w:val="NoSpacing"/>
        <w:rPr>
          <w:rFonts w:ascii="Times New Roman" w:hAnsi="Times New Roman" w:cs="Times New Roman"/>
          <w:sz w:val="20"/>
          <w:szCs w:val="20"/>
        </w:rPr>
      </w:pPr>
    </w:p>
  </w:footnote>
  <w:footnote w:id="6">
    <w:p w14:paraId="347B09A6" w14:textId="1633F26C" w:rsidR="0008423C" w:rsidRPr="00EB70A2" w:rsidRDefault="0008423C" w:rsidP="0008423C">
      <w:pPr>
        <w:pStyle w:val="FootnoteText"/>
        <w:rPr>
          <w:rFonts w:ascii="Times New Roman" w:hAnsi="Times New Roman" w:cs="Times New Roman"/>
        </w:rPr>
      </w:pPr>
      <w:r w:rsidRPr="00EB70A2">
        <w:rPr>
          <w:rStyle w:val="FootnoteReference"/>
          <w:rFonts w:ascii="Times New Roman" w:hAnsi="Times New Roman" w:cs="Times New Roman"/>
        </w:rPr>
        <w:footnoteRef/>
      </w:r>
      <w:r w:rsidRPr="00EB70A2">
        <w:rPr>
          <w:rFonts w:ascii="Times New Roman" w:hAnsi="Times New Roman" w:cs="Times New Roman"/>
        </w:rPr>
        <w:t xml:space="preserve"> </w:t>
      </w:r>
      <w:r w:rsidRPr="00EB70A2">
        <w:rPr>
          <w:rFonts w:ascii="Times New Roman" w:hAnsi="Times New Roman" w:cs="Times New Roman"/>
        </w:rPr>
        <w:tab/>
      </w:r>
      <w:r w:rsidRPr="00EB70A2">
        <w:rPr>
          <w:rFonts w:ascii="Times New Roman" w:hAnsi="Times New Roman" w:cs="Times New Roman"/>
          <w:u w:val="single"/>
        </w:rPr>
        <w:t xml:space="preserve">See </w:t>
      </w:r>
      <w:r w:rsidRPr="00EB70A2">
        <w:rPr>
          <w:rFonts w:ascii="Times New Roman" w:hAnsi="Times New Roman" w:cs="Times New Roman"/>
        </w:rPr>
        <w:t>Rule</w:t>
      </w:r>
      <w:r w:rsidR="00FF3643" w:rsidRPr="00EB70A2">
        <w:rPr>
          <w:rFonts w:ascii="Times New Roman" w:hAnsi="Times New Roman" w:cs="Times New Roman"/>
        </w:rPr>
        <w:t xml:space="preserve"> X.10, </w:t>
      </w:r>
      <w:r w:rsidR="00D60246" w:rsidRPr="00EB70A2">
        <w:rPr>
          <w:rFonts w:ascii="Times New Roman" w:hAnsi="Times New Roman" w:cs="Times New Roman"/>
        </w:rPr>
        <w:t>Non-Reviewable Range for</w:t>
      </w:r>
      <w:r w:rsidR="00E1206A" w:rsidRPr="00EB70A2">
        <w:rPr>
          <w:rFonts w:ascii="Times New Roman" w:hAnsi="Times New Roman" w:cs="Times New Roman"/>
        </w:rPr>
        <w:t xml:space="preserve"> each of</w:t>
      </w:r>
      <w:r w:rsidR="00D60246" w:rsidRPr="00EB70A2">
        <w:rPr>
          <w:rFonts w:ascii="Times New Roman" w:hAnsi="Times New Roman" w:cs="Times New Roman"/>
        </w:rPr>
        <w:t xml:space="preserve"> the </w:t>
      </w:r>
      <w:r w:rsidR="00CB62F6" w:rsidRPr="00EB70A2">
        <w:rPr>
          <w:rFonts w:ascii="Times New Roman" w:eastAsia="Times New Roman" w:hAnsi="Times New Roman" w:cs="Times New Roman"/>
          <w:bCs/>
        </w:rPr>
        <w:t xml:space="preserve">NatGas </w:t>
      </w:r>
      <w:r w:rsidR="00EB70A2" w:rsidRPr="00EB70A2">
        <w:rPr>
          <w:rFonts w:ascii="Times New Roman" w:eastAsia="Calibri" w:hAnsi="Times New Roman" w:cs="Times New Roman"/>
        </w:rPr>
        <w:t xml:space="preserve">Liquids </w:t>
      </w:r>
      <w:r w:rsidR="00CB62F6" w:rsidRPr="00EB70A2">
        <w:rPr>
          <w:rFonts w:ascii="Times New Roman" w:eastAsia="Times New Roman" w:hAnsi="Times New Roman" w:cs="Times New Roman"/>
          <w:bCs/>
        </w:rPr>
        <w:t xml:space="preserve">Futures </w:t>
      </w:r>
      <w:r w:rsidR="00D60246" w:rsidRPr="00EB70A2">
        <w:rPr>
          <w:rFonts w:ascii="Times New Roman" w:hAnsi="Times New Roman" w:cs="Times New Roman"/>
        </w:rPr>
        <w:t>attached as Exhibit A.</w:t>
      </w:r>
      <w:r w:rsidR="008C1AFB">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02B144BC"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830770">
      <w:rPr>
        <w:rFonts w:ascii="Times New Roman" w:hAnsi="Times New Roman" w:cs="Times New Roman"/>
        <w:noProof/>
        <w:sz w:val="20"/>
        <w:szCs w:val="20"/>
      </w:rPr>
      <w:t>October 11, 2017</w:t>
    </w:r>
    <w:r>
      <w:rPr>
        <w:rFonts w:ascii="Times New Roman" w:hAnsi="Times New Roman" w:cs="Times New Roman"/>
        <w:sz w:val="20"/>
        <w:szCs w:val="20"/>
      </w:rPr>
      <w:fldChar w:fldCharType="end"/>
    </w:r>
  </w:p>
  <w:p w14:paraId="347B098F" w14:textId="0BF714CC"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CB62F6">
      <w:rPr>
        <w:rFonts w:ascii="Times New Roman" w:hAnsi="Times New Roman" w:cs="Times New Roman"/>
        <w:sz w:val="20"/>
        <w:szCs w:val="20"/>
      </w:rPr>
      <w:t>7</w:t>
    </w:r>
    <w:r w:rsidRPr="00C54BB6">
      <w:rPr>
        <w:rFonts w:ascii="Times New Roman" w:hAnsi="Times New Roman" w:cs="Times New Roman"/>
        <w:sz w:val="20"/>
        <w:szCs w:val="20"/>
      </w:rPr>
      <w:t>-</w:t>
    </w:r>
    <w:r w:rsidR="00CB62F6" w:rsidRPr="00CB62F6">
      <w:rPr>
        <w:rFonts w:ascii="Times New Roman" w:hAnsi="Times New Roman" w:cs="Times New Roman"/>
        <w:sz w:val="20"/>
        <w:szCs w:val="20"/>
      </w:rPr>
      <w:t>36</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30770">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0992" w14:textId="77777777" w:rsidR="00E12802" w:rsidRDefault="00E12802" w:rsidP="00E12802">
    <w:pPr>
      <w:pStyle w:val="Header"/>
      <w:jc w:val="right"/>
    </w:pPr>
  </w:p>
  <w:p w14:paraId="347B0993" w14:textId="77777777" w:rsidR="00E12802" w:rsidRDefault="00E12802" w:rsidP="00E12802">
    <w:pPr>
      <w:pStyle w:val="Header"/>
      <w:jc w:val="right"/>
    </w:pPr>
  </w:p>
  <w:p w14:paraId="347B0994" w14:textId="77777777" w:rsidR="00E12802" w:rsidRDefault="00E12802" w:rsidP="00E12802">
    <w:pPr>
      <w:pStyle w:val="Header"/>
      <w:jc w:val="right"/>
    </w:pPr>
  </w:p>
  <w:p w14:paraId="347B0995" w14:textId="77777777" w:rsidR="00E12802" w:rsidRDefault="00E12802" w:rsidP="00E12802">
    <w:pPr>
      <w:pStyle w:val="Header"/>
      <w:jc w:val="right"/>
    </w:pPr>
  </w:p>
  <w:p w14:paraId="7F2043C3" w14:textId="77777777" w:rsidR="005013E3" w:rsidRPr="00CF4B16" w:rsidRDefault="005013E3" w:rsidP="005013E3">
    <w:pPr>
      <w:pStyle w:val="LetterheadAddress"/>
      <w:ind w:left="6550"/>
      <w:rPr>
        <w:sz w:val="20"/>
      </w:rPr>
    </w:pPr>
    <w:r w:rsidRPr="00CF4B16">
      <w:rPr>
        <w:sz w:val="20"/>
      </w:rPr>
      <w:t>Nasdaq Futures, Inc.</w:t>
    </w:r>
  </w:p>
  <w:p w14:paraId="13D47C1D" w14:textId="77777777" w:rsidR="005013E3" w:rsidRDefault="005013E3" w:rsidP="005013E3">
    <w:pPr>
      <w:pStyle w:val="LetterheadAddress"/>
      <w:ind w:left="6550"/>
      <w:rPr>
        <w:sz w:val="20"/>
      </w:rPr>
    </w:pPr>
    <w:r w:rsidRPr="00102C97">
      <w:rPr>
        <w:sz w:val="20"/>
      </w:rPr>
      <w:t xml:space="preserve">FMC Tower, Level 8, </w:t>
    </w:r>
  </w:p>
  <w:p w14:paraId="477288D1" w14:textId="77777777" w:rsidR="002549B0" w:rsidRDefault="002549B0" w:rsidP="005013E3">
    <w:pPr>
      <w:pStyle w:val="LetterheadAddress"/>
      <w:ind w:left="6550"/>
      <w:rPr>
        <w:sz w:val="20"/>
      </w:rPr>
    </w:pPr>
    <w:r>
      <w:rPr>
        <w:sz w:val="20"/>
      </w:rPr>
      <w:t>2929 Walnut Street</w:t>
    </w:r>
  </w:p>
  <w:p w14:paraId="59AA2A24" w14:textId="0FF78216" w:rsidR="005013E3" w:rsidRPr="00102C97" w:rsidRDefault="005013E3" w:rsidP="005013E3">
    <w:pPr>
      <w:pStyle w:val="LetterheadAddress"/>
      <w:ind w:left="6550"/>
      <w:rPr>
        <w:sz w:val="20"/>
      </w:rPr>
    </w:pPr>
    <w:r w:rsidRPr="00102C97">
      <w:rPr>
        <w:sz w:val="20"/>
      </w:rPr>
      <w:t>Philadelphia, PA 19104</w:t>
    </w:r>
    <w:r>
      <w:rPr>
        <w:sz w:val="20"/>
      </w:rPr>
      <w:t xml:space="preserve"> /</w:t>
    </w:r>
    <w:r w:rsidRPr="00102C97">
      <w:rPr>
        <w:sz w:val="20"/>
      </w:rPr>
      <w:t xml:space="preserve"> USA</w:t>
    </w:r>
  </w:p>
  <w:p w14:paraId="347B0999" w14:textId="77777777" w:rsidR="00E12802" w:rsidRDefault="00E12802" w:rsidP="00E12802">
    <w:pPr>
      <w:spacing w:before="120" w:after="0"/>
      <w:ind w:left="6550" w:firstLine="2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347B099A" w14:textId="77777777" w:rsidR="00E12802" w:rsidRDefault="00E12802" w:rsidP="00E12802">
    <w:pPr>
      <w:pStyle w:val="Header"/>
      <w:ind w:firstLine="6120"/>
    </w:pPr>
    <w:r w:rsidRPr="002E383E">
      <w:rPr>
        <w:noProof/>
      </w:rPr>
      <w:drawing>
        <wp:anchor distT="0" distB="0" distL="114300" distR="114300" simplePos="0" relativeHeight="251659264" behindDoc="0" locked="1" layoutInCell="1" allowOverlap="1" wp14:anchorId="347B099B" wp14:editId="347B099C">
          <wp:simplePos x="0" y="0"/>
          <wp:positionH relativeFrom="column">
            <wp:posOffset>3596640</wp:posOffset>
          </wp:positionH>
          <wp:positionV relativeFrom="page">
            <wp:posOffset>335280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18"/>
    <w:rsid w:val="00010CB6"/>
    <w:rsid w:val="0008423C"/>
    <w:rsid w:val="000B7359"/>
    <w:rsid w:val="000E26AE"/>
    <w:rsid w:val="000E415C"/>
    <w:rsid w:val="0012529D"/>
    <w:rsid w:val="001441D8"/>
    <w:rsid w:val="00154FD5"/>
    <w:rsid w:val="00182CE6"/>
    <w:rsid w:val="001D58EB"/>
    <w:rsid w:val="00204EC5"/>
    <w:rsid w:val="00227AB7"/>
    <w:rsid w:val="00253701"/>
    <w:rsid w:val="002549B0"/>
    <w:rsid w:val="002C0A34"/>
    <w:rsid w:val="00317C2C"/>
    <w:rsid w:val="00375FC3"/>
    <w:rsid w:val="003D40B8"/>
    <w:rsid w:val="004965FA"/>
    <w:rsid w:val="004A3A69"/>
    <w:rsid w:val="004A53F9"/>
    <w:rsid w:val="004B0524"/>
    <w:rsid w:val="004D7E5D"/>
    <w:rsid w:val="005013E3"/>
    <w:rsid w:val="00543CA2"/>
    <w:rsid w:val="0057699B"/>
    <w:rsid w:val="005A08AE"/>
    <w:rsid w:val="005D3586"/>
    <w:rsid w:val="005E3020"/>
    <w:rsid w:val="005F3337"/>
    <w:rsid w:val="005F4A93"/>
    <w:rsid w:val="00682A97"/>
    <w:rsid w:val="006B3A2F"/>
    <w:rsid w:val="006D2840"/>
    <w:rsid w:val="007076E9"/>
    <w:rsid w:val="007958C5"/>
    <w:rsid w:val="007A395D"/>
    <w:rsid w:val="007C7601"/>
    <w:rsid w:val="00821537"/>
    <w:rsid w:val="0082421C"/>
    <w:rsid w:val="00830770"/>
    <w:rsid w:val="008314F4"/>
    <w:rsid w:val="008321A8"/>
    <w:rsid w:val="0083533B"/>
    <w:rsid w:val="00893E15"/>
    <w:rsid w:val="008B041F"/>
    <w:rsid w:val="008C1AFB"/>
    <w:rsid w:val="008C3F5C"/>
    <w:rsid w:val="00930E90"/>
    <w:rsid w:val="009376E9"/>
    <w:rsid w:val="0096726E"/>
    <w:rsid w:val="009D0582"/>
    <w:rsid w:val="00A458A0"/>
    <w:rsid w:val="00A52513"/>
    <w:rsid w:val="00AD7CB9"/>
    <w:rsid w:val="00AE0662"/>
    <w:rsid w:val="00AE5949"/>
    <w:rsid w:val="00B53FAF"/>
    <w:rsid w:val="00B6532A"/>
    <w:rsid w:val="00B85873"/>
    <w:rsid w:val="00BA65B3"/>
    <w:rsid w:val="00BF3AF0"/>
    <w:rsid w:val="00C4068B"/>
    <w:rsid w:val="00CA52C3"/>
    <w:rsid w:val="00CA6E45"/>
    <w:rsid w:val="00CB53DA"/>
    <w:rsid w:val="00CB62F6"/>
    <w:rsid w:val="00D0050D"/>
    <w:rsid w:val="00D327C6"/>
    <w:rsid w:val="00D60246"/>
    <w:rsid w:val="00D70718"/>
    <w:rsid w:val="00E1206A"/>
    <w:rsid w:val="00E12802"/>
    <w:rsid w:val="00E34482"/>
    <w:rsid w:val="00E74C83"/>
    <w:rsid w:val="00EB70A2"/>
    <w:rsid w:val="00EC432B"/>
    <w:rsid w:val="00F02F13"/>
    <w:rsid w:val="00F20122"/>
    <w:rsid w:val="00F3065C"/>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CommentReference">
    <w:name w:val="annotation reference"/>
    <w:basedOn w:val="DefaultParagraphFont"/>
    <w:uiPriority w:val="99"/>
    <w:semiHidden/>
    <w:unhideWhenUsed/>
    <w:rsid w:val="007A395D"/>
    <w:rPr>
      <w:sz w:val="16"/>
      <w:szCs w:val="16"/>
    </w:rPr>
  </w:style>
  <w:style w:type="paragraph" w:styleId="CommentText">
    <w:name w:val="annotation text"/>
    <w:basedOn w:val="Normal"/>
    <w:link w:val="CommentTextChar"/>
    <w:uiPriority w:val="99"/>
    <w:semiHidden/>
    <w:unhideWhenUsed/>
    <w:rsid w:val="007A395D"/>
    <w:pPr>
      <w:spacing w:line="240" w:lineRule="auto"/>
    </w:pPr>
    <w:rPr>
      <w:sz w:val="20"/>
      <w:szCs w:val="20"/>
    </w:rPr>
  </w:style>
  <w:style w:type="character" w:customStyle="1" w:styleId="CommentTextChar">
    <w:name w:val="Comment Text Char"/>
    <w:basedOn w:val="DefaultParagraphFont"/>
    <w:link w:val="CommentText"/>
    <w:uiPriority w:val="99"/>
    <w:semiHidden/>
    <w:rsid w:val="007A395D"/>
    <w:rPr>
      <w:sz w:val="20"/>
      <w:szCs w:val="20"/>
    </w:rPr>
  </w:style>
  <w:style w:type="paragraph" w:styleId="CommentSubject">
    <w:name w:val="annotation subject"/>
    <w:basedOn w:val="CommentText"/>
    <w:next w:val="CommentText"/>
    <w:link w:val="CommentSubjectChar"/>
    <w:uiPriority w:val="99"/>
    <w:semiHidden/>
    <w:unhideWhenUsed/>
    <w:rsid w:val="007A395D"/>
    <w:rPr>
      <w:b/>
      <w:bCs/>
    </w:rPr>
  </w:style>
  <w:style w:type="character" w:customStyle="1" w:styleId="CommentSubjectChar">
    <w:name w:val="Comment Subject Char"/>
    <w:basedOn w:val="CommentTextChar"/>
    <w:link w:val="CommentSubject"/>
    <w:uiPriority w:val="99"/>
    <w:semiHidden/>
    <w:rsid w:val="007A395D"/>
    <w:rPr>
      <w:b/>
      <w:bCs/>
      <w:sz w:val="20"/>
      <w:szCs w:val="20"/>
    </w:rPr>
  </w:style>
  <w:style w:type="paragraph" w:styleId="Revision">
    <w:name w:val="Revision"/>
    <w:hidden/>
    <w:uiPriority w:val="99"/>
    <w:semiHidden/>
    <w:rsid w:val="007A395D"/>
    <w:pPr>
      <w:spacing w:after="0" w:line="240" w:lineRule="auto"/>
    </w:pPr>
  </w:style>
  <w:style w:type="paragraph" w:styleId="BalloonText">
    <w:name w:val="Balloon Text"/>
    <w:basedOn w:val="Normal"/>
    <w:link w:val="BalloonTextChar"/>
    <w:uiPriority w:val="99"/>
    <w:semiHidden/>
    <w:unhideWhenUsed/>
    <w:rsid w:val="007A3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CommentReference">
    <w:name w:val="annotation reference"/>
    <w:basedOn w:val="DefaultParagraphFont"/>
    <w:uiPriority w:val="99"/>
    <w:semiHidden/>
    <w:unhideWhenUsed/>
    <w:rsid w:val="007A395D"/>
    <w:rPr>
      <w:sz w:val="16"/>
      <w:szCs w:val="16"/>
    </w:rPr>
  </w:style>
  <w:style w:type="paragraph" w:styleId="CommentText">
    <w:name w:val="annotation text"/>
    <w:basedOn w:val="Normal"/>
    <w:link w:val="CommentTextChar"/>
    <w:uiPriority w:val="99"/>
    <w:semiHidden/>
    <w:unhideWhenUsed/>
    <w:rsid w:val="007A395D"/>
    <w:pPr>
      <w:spacing w:line="240" w:lineRule="auto"/>
    </w:pPr>
    <w:rPr>
      <w:sz w:val="20"/>
      <w:szCs w:val="20"/>
    </w:rPr>
  </w:style>
  <w:style w:type="character" w:customStyle="1" w:styleId="CommentTextChar">
    <w:name w:val="Comment Text Char"/>
    <w:basedOn w:val="DefaultParagraphFont"/>
    <w:link w:val="CommentText"/>
    <w:uiPriority w:val="99"/>
    <w:semiHidden/>
    <w:rsid w:val="007A395D"/>
    <w:rPr>
      <w:sz w:val="20"/>
      <w:szCs w:val="20"/>
    </w:rPr>
  </w:style>
  <w:style w:type="paragraph" w:styleId="CommentSubject">
    <w:name w:val="annotation subject"/>
    <w:basedOn w:val="CommentText"/>
    <w:next w:val="CommentText"/>
    <w:link w:val="CommentSubjectChar"/>
    <w:uiPriority w:val="99"/>
    <w:semiHidden/>
    <w:unhideWhenUsed/>
    <w:rsid w:val="007A395D"/>
    <w:rPr>
      <w:b/>
      <w:bCs/>
    </w:rPr>
  </w:style>
  <w:style w:type="character" w:customStyle="1" w:styleId="CommentSubjectChar">
    <w:name w:val="Comment Subject Char"/>
    <w:basedOn w:val="CommentTextChar"/>
    <w:link w:val="CommentSubject"/>
    <w:uiPriority w:val="99"/>
    <w:semiHidden/>
    <w:rsid w:val="007A395D"/>
    <w:rPr>
      <w:b/>
      <w:bCs/>
      <w:sz w:val="20"/>
      <w:szCs w:val="20"/>
    </w:rPr>
  </w:style>
  <w:style w:type="paragraph" w:styleId="Revision">
    <w:name w:val="Revision"/>
    <w:hidden/>
    <w:uiPriority w:val="99"/>
    <w:semiHidden/>
    <w:rsid w:val="007A395D"/>
    <w:pPr>
      <w:spacing w:after="0" w:line="240" w:lineRule="auto"/>
    </w:pPr>
  </w:style>
  <w:style w:type="paragraph" w:styleId="BalloonText">
    <w:name w:val="Balloon Text"/>
    <w:basedOn w:val="Normal"/>
    <w:link w:val="BalloonTextChar"/>
    <w:uiPriority w:val="99"/>
    <w:semiHidden/>
    <w:unhideWhenUsed/>
    <w:rsid w:val="007A3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a4d9c1d9-2f40-4ea1-a953-09c8443ced45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2017-10-11T21:24:14+00:00</Document_x0020_Date>
    <Document_x0020_No xmlns="4b47aac5-4c46-444f-8595-ce09b406fc61">33661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2C3E2-DCA4-4FE9-BBC9-A572A45EA1B4}"/>
</file>

<file path=customXml/itemProps2.xml><?xml version="1.0" encoding="utf-8"?>
<ds:datastoreItem xmlns:ds="http://schemas.openxmlformats.org/officeDocument/2006/customXml" ds:itemID="{742AE1E5-549E-435C-A1FE-DEDA0A41805C}"/>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FEDD1E8F-51D9-416E-BF6A-0B2D1BB6CBEF}"/>
</file>

<file path=customXml/itemProps5.xml><?xml version="1.0" encoding="utf-8"?>
<ds:datastoreItem xmlns:ds="http://schemas.openxmlformats.org/officeDocument/2006/customXml" ds:itemID="{22EE5490-0204-4F1E-BF78-0DB10B1AD40D}"/>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Aravind Menon</dc:creator>
  <cp:lastModifiedBy>Tosin Osoko</cp:lastModifiedBy>
  <cp:revision>2</cp:revision>
  <cp:lastPrinted>2017-10-03T18:42:00Z</cp:lastPrinted>
  <dcterms:created xsi:type="dcterms:W3CDTF">2017-10-11T21:16:00Z</dcterms:created>
  <dcterms:modified xsi:type="dcterms:W3CDTF">2017-10-11T21:16:00Z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vt:lpwstr>
  </property>
  <property fmtid="{D5CDD505-2E9C-101B-9397-08002B2CF9AE}" pid="4" name="Order">
    <vt:r8>4366000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