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9D" w:rsidRDefault="0034089D" w:rsidP="003071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SR-NFX-2017-3</w:t>
      </w:r>
      <w:r w:rsidR="00E9285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40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Exhibit A</w:t>
      </w:r>
    </w:p>
    <w:p w:rsidR="001D3D07" w:rsidRPr="00DC3767" w:rsidRDefault="001D3D07" w:rsidP="001D3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:rsidR="001D3D07" w:rsidRPr="00DC3767" w:rsidRDefault="001D3D07" w:rsidP="001D3D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sx-policymanual-phlx-philabot_Aintro"/>
      <w:bookmarkStart w:id="2" w:name="chp_1_1_1_9_1"/>
      <w:bookmarkEnd w:id="1"/>
      <w:bookmarkEnd w:id="2"/>
      <w:r w:rsidRPr="00DC3767">
        <w:rPr>
          <w:rFonts w:ascii="Times New Roman" w:eastAsia="Times New Roman" w:hAnsi="Times New Roman" w:cs="Times New Roman"/>
          <w:bCs/>
          <w:sz w:val="24"/>
          <w:szCs w:val="24"/>
        </w:rPr>
        <w:t>* * * * *</w:t>
      </w:r>
    </w:p>
    <w:tbl>
      <w:tblPr>
        <w:tblStyle w:val="TableGrid"/>
        <w:tblW w:w="0" w:type="auto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7717"/>
      </w:tblGrid>
      <w:tr w:rsidR="001D3D07" w:rsidRPr="00DC3767" w:rsidTr="00D313C7">
        <w:tc>
          <w:tcPr>
            <w:tcW w:w="1705" w:type="dxa"/>
          </w:tcPr>
          <w:p w:rsidR="001D3D07" w:rsidRPr="00DC3767" w:rsidRDefault="001D3D07" w:rsidP="00D313C7">
            <w:pPr>
              <w:jc w:val="both"/>
              <w:rPr>
                <w:b/>
                <w:sz w:val="24"/>
                <w:szCs w:val="24"/>
              </w:rPr>
            </w:pPr>
            <w:r w:rsidRPr="00DC3767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7717" w:type="dxa"/>
          </w:tcPr>
          <w:p w:rsidR="001D3D07" w:rsidRPr="00DC3767" w:rsidRDefault="001D3D07" w:rsidP="00D313C7">
            <w:pPr>
              <w:jc w:val="both"/>
              <w:rPr>
                <w:b/>
                <w:sz w:val="24"/>
                <w:szCs w:val="24"/>
              </w:rPr>
            </w:pPr>
            <w:r w:rsidRPr="00DC3767">
              <w:rPr>
                <w:b/>
                <w:sz w:val="24"/>
                <w:szCs w:val="24"/>
              </w:rPr>
              <w:t>PRODUCT NAME AND SYMBOL</w:t>
            </w:r>
          </w:p>
        </w:tc>
      </w:tr>
      <w:tr w:rsidR="001D3D07" w:rsidRPr="00DC3767" w:rsidTr="00D313C7">
        <w:tc>
          <w:tcPr>
            <w:tcW w:w="1705" w:type="dxa"/>
          </w:tcPr>
          <w:p w:rsidR="001D3D07" w:rsidRPr="00DC3767" w:rsidRDefault="001D3D07" w:rsidP="00D313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DC3767" w:rsidRDefault="001D3D07" w:rsidP="00D313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3D07" w:rsidRPr="00DC3767" w:rsidTr="00D313C7">
        <w:tc>
          <w:tcPr>
            <w:tcW w:w="1705" w:type="dxa"/>
          </w:tcPr>
          <w:p w:rsidR="001D3D07" w:rsidRPr="00DC3767" w:rsidRDefault="001D3D07" w:rsidP="00D313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DC3767" w:rsidRDefault="001D3D07" w:rsidP="00D313C7">
            <w:pPr>
              <w:jc w:val="both"/>
              <w:rPr>
                <w:b/>
                <w:sz w:val="24"/>
                <w:szCs w:val="24"/>
              </w:rPr>
            </w:pPr>
            <w:r w:rsidRPr="00DC3767">
              <w:rPr>
                <w:b/>
                <w:sz w:val="24"/>
                <w:szCs w:val="24"/>
              </w:rPr>
              <w:t>OIL AND REFINED PRODUCTS – No Change</w:t>
            </w:r>
          </w:p>
        </w:tc>
      </w:tr>
      <w:tr w:rsidR="001D3D07" w:rsidRPr="00DC3767" w:rsidTr="00D313C7">
        <w:tc>
          <w:tcPr>
            <w:tcW w:w="1705" w:type="dxa"/>
          </w:tcPr>
          <w:p w:rsidR="001D3D07" w:rsidRPr="00DC3767" w:rsidRDefault="001D3D07" w:rsidP="00D31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DC3767" w:rsidRDefault="001D3D07" w:rsidP="00D313C7">
            <w:pPr>
              <w:jc w:val="both"/>
              <w:rPr>
                <w:sz w:val="24"/>
                <w:szCs w:val="24"/>
              </w:rPr>
            </w:pPr>
          </w:p>
        </w:tc>
      </w:tr>
      <w:tr w:rsidR="001D3D07" w:rsidRPr="00DC3767" w:rsidTr="00D313C7">
        <w:tc>
          <w:tcPr>
            <w:tcW w:w="1705" w:type="dxa"/>
          </w:tcPr>
          <w:p w:rsidR="001D3D07" w:rsidRPr="00DC3767" w:rsidRDefault="001D3D07" w:rsidP="00D313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DC3767" w:rsidRDefault="001D3D07" w:rsidP="00D313C7">
            <w:pPr>
              <w:jc w:val="both"/>
              <w:rPr>
                <w:b/>
                <w:sz w:val="24"/>
                <w:szCs w:val="24"/>
              </w:rPr>
            </w:pPr>
            <w:r w:rsidRPr="00DC3767">
              <w:rPr>
                <w:b/>
                <w:sz w:val="24"/>
                <w:szCs w:val="24"/>
              </w:rPr>
              <w:t xml:space="preserve">NATURAL GAS PRODUCTS – No Change </w:t>
            </w:r>
          </w:p>
        </w:tc>
      </w:tr>
      <w:tr w:rsidR="002C392D" w:rsidRPr="00DC3767" w:rsidTr="00D313C7">
        <w:tc>
          <w:tcPr>
            <w:tcW w:w="1705" w:type="dxa"/>
          </w:tcPr>
          <w:p w:rsidR="002C392D" w:rsidRPr="00DC3767" w:rsidRDefault="002C392D" w:rsidP="00A3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2C392D" w:rsidRPr="00DC3767" w:rsidRDefault="002C392D" w:rsidP="00A35C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392D" w:rsidRPr="00DC3767" w:rsidTr="00D313C7">
        <w:tc>
          <w:tcPr>
            <w:tcW w:w="1705" w:type="dxa"/>
          </w:tcPr>
          <w:p w:rsidR="002C392D" w:rsidRPr="00DC3767" w:rsidRDefault="002C392D" w:rsidP="00A3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2C392D" w:rsidRPr="00DC3767" w:rsidRDefault="0087578D" w:rsidP="002C392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3767">
              <w:rPr>
                <w:b/>
                <w:bCs/>
                <w:color w:val="000000"/>
                <w:sz w:val="24"/>
                <w:szCs w:val="24"/>
                <w:u w:val="single"/>
              </w:rPr>
              <w:t>PETROCHEMI</w:t>
            </w:r>
            <w:r w:rsidR="002C392D" w:rsidRPr="00DC3767">
              <w:rPr>
                <w:b/>
                <w:bCs/>
                <w:color w:val="000000"/>
                <w:sz w:val="24"/>
                <w:szCs w:val="24"/>
                <w:u w:val="single"/>
              </w:rPr>
              <w:t>C</w:t>
            </w:r>
            <w:r w:rsidRPr="00DC3767">
              <w:rPr>
                <w:b/>
                <w:bCs/>
                <w:color w:val="000000"/>
                <w:sz w:val="24"/>
                <w:szCs w:val="24"/>
                <w:u w:val="single"/>
              </w:rPr>
              <w:t>AL</w:t>
            </w:r>
            <w:r w:rsidR="002C392D" w:rsidRPr="00DC3767">
              <w:rPr>
                <w:b/>
                <w:bCs/>
                <w:color w:val="000000"/>
                <w:sz w:val="24"/>
                <w:szCs w:val="24"/>
                <w:u w:val="single"/>
              </w:rPr>
              <w:t>S PRODUCTS</w:t>
            </w:r>
          </w:p>
        </w:tc>
      </w:tr>
      <w:tr w:rsidR="00A35CBB" w:rsidRPr="00DC3767" w:rsidTr="00D313C7">
        <w:tc>
          <w:tcPr>
            <w:tcW w:w="1705" w:type="dxa"/>
          </w:tcPr>
          <w:p w:rsidR="00A35CBB" w:rsidRPr="00DC3767" w:rsidRDefault="00A35CBB" w:rsidP="00A3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A35CBB" w:rsidRPr="00DC3767" w:rsidRDefault="00A35CBB" w:rsidP="00A35C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5CBB" w:rsidRPr="00DC3767" w:rsidTr="00D313C7">
        <w:tc>
          <w:tcPr>
            <w:tcW w:w="1705" w:type="dxa"/>
          </w:tcPr>
          <w:p w:rsidR="00A35CBB" w:rsidRPr="00DC3767" w:rsidRDefault="00A35CBB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7717" w:type="dxa"/>
          </w:tcPr>
          <w:p w:rsidR="00A35CBB" w:rsidRPr="00DC3767" w:rsidRDefault="00B53C5C" w:rsidP="00B53C5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NFX (OPIS) Conway Normal Butane Futures (EIMQ)</w:t>
            </w:r>
          </w:p>
        </w:tc>
      </w:tr>
      <w:tr w:rsidR="00A35CBB" w:rsidRPr="00DC3767" w:rsidTr="00D313C7">
        <w:tc>
          <w:tcPr>
            <w:tcW w:w="1705" w:type="dxa"/>
          </w:tcPr>
          <w:p w:rsidR="00A35CBB" w:rsidRPr="00DC3767" w:rsidRDefault="00A35CBB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1001</w:t>
            </w:r>
          </w:p>
        </w:tc>
        <w:tc>
          <w:tcPr>
            <w:tcW w:w="7717" w:type="dxa"/>
          </w:tcPr>
          <w:p w:rsidR="00A35CBB" w:rsidRPr="00DC3767" w:rsidRDefault="00B53C5C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NFX (OPIS) Conway Propane Futures (EIKQ)</w:t>
            </w:r>
          </w:p>
        </w:tc>
      </w:tr>
      <w:tr w:rsidR="00A35CBB" w:rsidRPr="00DC3767" w:rsidTr="00D313C7">
        <w:tc>
          <w:tcPr>
            <w:tcW w:w="1705" w:type="dxa"/>
          </w:tcPr>
          <w:p w:rsidR="00A35CBB" w:rsidRPr="00DC3767" w:rsidRDefault="00A35CBB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1002</w:t>
            </w:r>
          </w:p>
        </w:tc>
        <w:tc>
          <w:tcPr>
            <w:tcW w:w="7717" w:type="dxa"/>
          </w:tcPr>
          <w:p w:rsidR="00A35CBB" w:rsidRPr="00DC3767" w:rsidRDefault="0087578D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 xml:space="preserve">NFX (OPIS) Mont </w:t>
            </w:r>
            <w:proofErr w:type="spellStart"/>
            <w:r w:rsidRPr="00DC3767">
              <w:rPr>
                <w:b/>
                <w:sz w:val="24"/>
                <w:szCs w:val="24"/>
                <w:u w:val="single"/>
              </w:rPr>
              <w:t>Belvieu</w:t>
            </w:r>
            <w:proofErr w:type="spellEnd"/>
            <w:r w:rsidR="00B53C5C" w:rsidRPr="00DC3767">
              <w:rPr>
                <w:b/>
                <w:sz w:val="24"/>
                <w:szCs w:val="24"/>
                <w:u w:val="single"/>
              </w:rPr>
              <w:t xml:space="preserve"> Non-LST Normal Butane Futures (DROQ)</w:t>
            </w:r>
          </w:p>
        </w:tc>
      </w:tr>
      <w:tr w:rsidR="00A35CBB" w:rsidRPr="00DC3767" w:rsidTr="00D313C7">
        <w:tc>
          <w:tcPr>
            <w:tcW w:w="1705" w:type="dxa"/>
          </w:tcPr>
          <w:p w:rsidR="00A35CBB" w:rsidRPr="00DC3767" w:rsidRDefault="00A35CBB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1003</w:t>
            </w:r>
          </w:p>
        </w:tc>
        <w:tc>
          <w:tcPr>
            <w:tcW w:w="7717" w:type="dxa"/>
          </w:tcPr>
          <w:p w:rsidR="00A35CBB" w:rsidRPr="00DC3767" w:rsidRDefault="00B53C5C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 xml:space="preserve">NFX (OPIS) Mont </w:t>
            </w:r>
            <w:proofErr w:type="spellStart"/>
            <w:r w:rsidRPr="00DC3767">
              <w:rPr>
                <w:b/>
                <w:sz w:val="24"/>
                <w:szCs w:val="24"/>
                <w:u w:val="single"/>
              </w:rPr>
              <w:t>Belvieu</w:t>
            </w:r>
            <w:proofErr w:type="spellEnd"/>
            <w:r w:rsidRPr="00DC3767">
              <w:rPr>
                <w:b/>
                <w:sz w:val="24"/>
                <w:szCs w:val="24"/>
                <w:u w:val="single"/>
              </w:rPr>
              <w:t xml:space="preserve"> Non-LST Propane Futures (PROQ)</w:t>
            </w:r>
          </w:p>
        </w:tc>
      </w:tr>
      <w:tr w:rsidR="00A35CBB" w:rsidRPr="00DC3767" w:rsidTr="00D313C7">
        <w:tc>
          <w:tcPr>
            <w:tcW w:w="1705" w:type="dxa"/>
          </w:tcPr>
          <w:p w:rsidR="00A35CBB" w:rsidRPr="00DC3767" w:rsidRDefault="00A35CBB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1004</w:t>
            </w:r>
          </w:p>
        </w:tc>
        <w:tc>
          <w:tcPr>
            <w:tcW w:w="7717" w:type="dxa"/>
          </w:tcPr>
          <w:p w:rsidR="00A35CBB" w:rsidRPr="00DC3767" w:rsidRDefault="00B53C5C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 xml:space="preserve">NFX (OPIS) Mont </w:t>
            </w:r>
            <w:proofErr w:type="spellStart"/>
            <w:r w:rsidRPr="00DC3767">
              <w:rPr>
                <w:b/>
                <w:sz w:val="24"/>
                <w:szCs w:val="24"/>
                <w:u w:val="single"/>
              </w:rPr>
              <w:t>Belvieu</w:t>
            </w:r>
            <w:proofErr w:type="spellEnd"/>
            <w:r w:rsidRPr="00DC3767">
              <w:rPr>
                <w:b/>
                <w:sz w:val="24"/>
                <w:szCs w:val="24"/>
                <w:u w:val="single"/>
              </w:rPr>
              <w:t xml:space="preserve"> Non-LST Natural Gasoline Futures (QROQ)</w:t>
            </w:r>
          </w:p>
        </w:tc>
      </w:tr>
      <w:tr w:rsidR="00A35CBB" w:rsidRPr="00DC3767" w:rsidTr="00D313C7">
        <w:tc>
          <w:tcPr>
            <w:tcW w:w="1705" w:type="dxa"/>
          </w:tcPr>
          <w:p w:rsidR="00A35CBB" w:rsidRPr="00DC3767" w:rsidRDefault="00A35CBB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1005</w:t>
            </w:r>
          </w:p>
        </w:tc>
        <w:tc>
          <w:tcPr>
            <w:tcW w:w="7717" w:type="dxa"/>
          </w:tcPr>
          <w:p w:rsidR="00A35CBB" w:rsidRPr="00DC3767" w:rsidRDefault="00B53C5C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 xml:space="preserve">NFX (OPIS) Mont </w:t>
            </w:r>
            <w:proofErr w:type="spellStart"/>
            <w:r w:rsidRPr="00DC3767">
              <w:rPr>
                <w:b/>
                <w:sz w:val="24"/>
                <w:szCs w:val="24"/>
                <w:u w:val="single"/>
              </w:rPr>
              <w:t>Belvieu</w:t>
            </w:r>
            <w:proofErr w:type="spellEnd"/>
            <w:r w:rsidRPr="00DC3767">
              <w:rPr>
                <w:b/>
                <w:sz w:val="24"/>
                <w:szCs w:val="24"/>
                <w:u w:val="single"/>
              </w:rPr>
              <w:t xml:space="preserve"> Non-LST Ethane Futures (CROQ)</w:t>
            </w:r>
          </w:p>
        </w:tc>
      </w:tr>
      <w:tr w:rsidR="00A35CBB" w:rsidRPr="00DC3767" w:rsidTr="00D313C7">
        <w:tc>
          <w:tcPr>
            <w:tcW w:w="1705" w:type="dxa"/>
          </w:tcPr>
          <w:p w:rsidR="00A35CBB" w:rsidRPr="00DC3767" w:rsidRDefault="00A35CBB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1006</w:t>
            </w:r>
          </w:p>
        </w:tc>
        <w:tc>
          <w:tcPr>
            <w:tcW w:w="7717" w:type="dxa"/>
          </w:tcPr>
          <w:p w:rsidR="00A35CBB" w:rsidRPr="00DC3767" w:rsidRDefault="00B53C5C" w:rsidP="00B53C5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 xml:space="preserve">NFX (OPIS) Mont </w:t>
            </w:r>
            <w:proofErr w:type="spellStart"/>
            <w:r w:rsidRPr="00DC3767">
              <w:rPr>
                <w:b/>
                <w:sz w:val="24"/>
                <w:szCs w:val="24"/>
                <w:u w:val="single"/>
              </w:rPr>
              <w:t>Belvieu</w:t>
            </w:r>
            <w:proofErr w:type="spellEnd"/>
            <w:r w:rsidRPr="00DC3767">
              <w:rPr>
                <w:b/>
                <w:sz w:val="24"/>
                <w:szCs w:val="24"/>
                <w:u w:val="single"/>
              </w:rPr>
              <w:t xml:space="preserve"> LST Propane Futures (BROQ)</w:t>
            </w:r>
          </w:p>
        </w:tc>
      </w:tr>
      <w:tr w:rsidR="00A35CBB" w:rsidRPr="00DC3767" w:rsidTr="00D313C7">
        <w:tc>
          <w:tcPr>
            <w:tcW w:w="1705" w:type="dxa"/>
          </w:tcPr>
          <w:p w:rsidR="00A35CBB" w:rsidRPr="00DC3767" w:rsidRDefault="00A35CBB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>1007</w:t>
            </w:r>
          </w:p>
        </w:tc>
        <w:tc>
          <w:tcPr>
            <w:tcW w:w="7717" w:type="dxa"/>
          </w:tcPr>
          <w:p w:rsidR="00A35CBB" w:rsidRPr="00DC3767" w:rsidRDefault="00B53C5C" w:rsidP="00A35C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C3767">
              <w:rPr>
                <w:b/>
                <w:sz w:val="24"/>
                <w:szCs w:val="24"/>
                <w:u w:val="single"/>
              </w:rPr>
              <w:t xml:space="preserve">NFX (OPIS) Mont </w:t>
            </w:r>
            <w:proofErr w:type="spellStart"/>
            <w:r w:rsidRPr="00DC3767">
              <w:rPr>
                <w:b/>
                <w:sz w:val="24"/>
                <w:szCs w:val="24"/>
                <w:u w:val="single"/>
              </w:rPr>
              <w:t>Belvieu</w:t>
            </w:r>
            <w:proofErr w:type="spellEnd"/>
            <w:r w:rsidRPr="00DC3767">
              <w:rPr>
                <w:b/>
                <w:sz w:val="24"/>
                <w:szCs w:val="24"/>
                <w:u w:val="single"/>
              </w:rPr>
              <w:t xml:space="preserve"> LST Normal Butane Futures (MNBQ)</w:t>
            </w:r>
          </w:p>
        </w:tc>
      </w:tr>
    </w:tbl>
    <w:p w:rsidR="00A35CBB" w:rsidRPr="00DC3767" w:rsidRDefault="00A35CBB" w:rsidP="001D3D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3D07" w:rsidRPr="00DC3767" w:rsidRDefault="001D3D07" w:rsidP="00A35C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hAnsi="Times New Roman" w:cs="Times New Roman"/>
          <w:sz w:val="24"/>
          <w:szCs w:val="24"/>
        </w:rPr>
        <w:t>*****</w:t>
      </w:r>
    </w:p>
    <w:p w:rsidR="00A35CBB" w:rsidRPr="00DC3767" w:rsidRDefault="00A35CBB" w:rsidP="00C874C0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874C0" w:rsidRPr="00DC3767" w:rsidRDefault="00A35CBB" w:rsidP="00C874C0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</w:t>
      </w:r>
      <w:r w:rsidR="00C874C0"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pter </w:t>
      </w:r>
      <w:r w:rsidR="002D035F"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1000</w:t>
      </w:r>
      <w:r w:rsidR="00C874C0"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NFX (OPIS) Conway Normal Butane Futures (EIMQ) </w:t>
      </w:r>
    </w:p>
    <w:p w:rsidR="0087578D" w:rsidRDefault="0087578D" w:rsidP="00A35CBB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chp_1_1_1_9_32_1"/>
      <w:bookmarkStart w:id="4" w:name="sx-policymanual-phlx-philabot_201.01"/>
      <w:bookmarkEnd w:id="3"/>
      <w:bookmarkEnd w:id="4"/>
    </w:p>
    <w:p w:rsidR="00E92854" w:rsidRPr="00DC3767" w:rsidRDefault="00E92854" w:rsidP="00A35CBB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F17789" w:rsidRPr="00DC3767" w:rsidRDefault="004F7A4E" w:rsidP="00C874C0">
      <w:pPr>
        <w:spacing w:before="15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1000</w:t>
      </w:r>
      <w:r w:rsidR="00C874C0"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.04 Last Trading Day</w:t>
      </w:r>
    </w:p>
    <w:p w:rsidR="0087578D" w:rsidRPr="00DC3767" w:rsidRDefault="002D035F" w:rsidP="00875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chp_1_1_1_9_32_5"/>
      <w:bookmarkStart w:id="6" w:name="sx-policymanual-phlx-philabot_201.05"/>
      <w:bookmarkEnd w:id="5"/>
      <w:bookmarkEnd w:id="6"/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Trading for a particular contract month terminates on the last business day of the contract month. Trading ceases at 5:00 PM EPT on the last trading day.</w:t>
      </w:r>
    </w:p>
    <w:p w:rsidR="00E92854" w:rsidRDefault="00E92854" w:rsidP="00C874C0">
      <w:pPr>
        <w:spacing w:before="15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874C0" w:rsidRPr="00DC3767" w:rsidRDefault="00E92854" w:rsidP="00C874C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874C0" w:rsidRPr="00DC3767" w:rsidRDefault="004F7A4E" w:rsidP="00C874C0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7" w:name="chp_1_1_1_9_32_6"/>
      <w:bookmarkStart w:id="8" w:name="sx-policymanual-phlx-philabot_201.06"/>
      <w:bookmarkEnd w:id="7"/>
      <w:bookmarkEnd w:id="8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1000</w:t>
      </w:r>
      <w:r w:rsidR="00C874C0"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.06 Final and Daily Settlement and Settlement Prices</w:t>
      </w:r>
    </w:p>
    <w:p w:rsidR="00C874C0" w:rsidRPr="00DC3767" w:rsidRDefault="00C874C0" w:rsidP="00C874C0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="00F3590E"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Final settlement for contracts held to their maturity date is by cash settlement in U.S. dollars.</w:t>
      </w:r>
    </w:p>
    <w:p w:rsidR="00272F72" w:rsidRPr="00DC3767" w:rsidRDefault="00C874C0" w:rsidP="00272F72">
      <w:pPr>
        <w:autoSpaceDE w:val="0"/>
        <w:autoSpaceDN w:val="0"/>
        <w:spacing w:after="0" w:line="240" w:lineRule="auto"/>
        <w:ind w:left="480" w:hanging="300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="00F3590E"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V, Section III, the daily settlement prices will be determined by NFX using price data from a number of sources including, spot, forward and derivative markets for both physical and financial products.</w:t>
      </w:r>
    </w:p>
    <w:p w:rsidR="00C874C0" w:rsidRPr="00DC3767" w:rsidRDefault="00C874C0" w:rsidP="00272F7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C0" w:rsidRPr="00DC3767" w:rsidRDefault="00C874C0" w:rsidP="00C874C0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="00B67D0E" w:rsidRPr="00DC3767">
        <w:rPr>
          <w:rFonts w:ascii="Times New Roman" w:hAnsi="Times New Roman" w:cs="Times New Roman"/>
          <w:sz w:val="24"/>
          <w:szCs w:val="24"/>
        </w:rPr>
        <w:t xml:space="preserve"> </w:t>
      </w:r>
      <w:r w:rsidR="00F3590E" w:rsidRPr="00F3590E">
        <w:rPr>
          <w:rFonts w:ascii="Times New Roman" w:hAnsi="Times New Roman" w:cs="Times New Roman"/>
          <w:sz w:val="24"/>
          <w:szCs w:val="24"/>
        </w:rPr>
        <w:t xml:space="preserve">Pursuant to Chapter V, Section III, the final settlement price shall be equal to the arithmetic average of the Conway N. Butane (in-well) </w:t>
      </w:r>
      <w:r w:rsidR="00D22065">
        <w:rPr>
          <w:rFonts w:ascii="Times New Roman" w:hAnsi="Times New Roman" w:cs="Times New Roman"/>
          <w:sz w:val="24"/>
          <w:szCs w:val="24"/>
        </w:rPr>
        <w:t xml:space="preserve">price published in the OPIS North American LPG Report </w:t>
      </w:r>
      <w:r w:rsidR="00F3590E" w:rsidRPr="00F3590E">
        <w:rPr>
          <w:rFonts w:ascii="Times New Roman" w:hAnsi="Times New Roman" w:cs="Times New Roman"/>
          <w:sz w:val="24"/>
          <w:szCs w:val="24"/>
        </w:rPr>
        <w:t xml:space="preserve">for each business day during the contract month. </w:t>
      </w:r>
    </w:p>
    <w:p w:rsidR="00C874C0" w:rsidRPr="00DC3767" w:rsidRDefault="00C874C0" w:rsidP="00C874C0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 w:rsidR="00F3590E"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If the daily settlement price described in (b) above is unavailable the Exchange may in its sole discretion establish a daily settlement price that it deems to be a fair and reasonable reflection of the market. If the final settlement price is not available or the normal settlement procedure cannot be utilized due to a trading disruption or the other unusual circumstance, the final settlement price will be determined in accordance with the Rules and By-Laws of the Clearing Corporation.</w:t>
      </w:r>
    </w:p>
    <w:p w:rsidR="00C874C0" w:rsidRPr="00DC3767" w:rsidRDefault="00E92854" w:rsidP="00C874C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chp_1_1_1_9_32_7"/>
      <w:bookmarkStart w:id="10" w:name="sx-policymanual-phlx-philabot_201.07"/>
      <w:bookmarkEnd w:id="9"/>
      <w:bookmarkEnd w:id="1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874C0" w:rsidRPr="00DC3767" w:rsidRDefault="004F7A4E" w:rsidP="00C874C0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1" w:name="chp_1_1_1_9_32_9"/>
      <w:bookmarkStart w:id="12" w:name="sx-policymanual-phlx-philabot_201.09"/>
      <w:bookmarkEnd w:id="11"/>
      <w:bookmarkEnd w:id="12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1000</w:t>
      </w:r>
      <w:r w:rsidR="00E30683"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.08</w:t>
      </w:r>
      <w:r w:rsidR="00C874C0"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Block Trade Minimum Quantity Threshold and Reporting Window</w:t>
      </w:r>
    </w:p>
    <w:p w:rsidR="00C874C0" w:rsidRPr="00DC3767" w:rsidRDefault="00F3590E" w:rsidP="00C874C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and the Reporting Window shall be 15 Minutes.</w:t>
      </w:r>
      <w:r w:rsidR="00E30683"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035F" w:rsidRPr="00DC3767" w:rsidRDefault="00E92854" w:rsidP="00C874C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chp_1_1_1_9_32_10"/>
      <w:bookmarkStart w:id="14" w:name="sx-policymanual-phlx-philabot_201.10"/>
      <w:bookmarkEnd w:id="13"/>
      <w:bookmarkEnd w:id="14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874C0" w:rsidRPr="00DC3767" w:rsidRDefault="004F7A4E" w:rsidP="00C874C0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5" w:name="chp_1_1_1_9_32_11"/>
      <w:bookmarkStart w:id="16" w:name="sx-policymanual-phlx-philabot_201.11"/>
      <w:bookmarkEnd w:id="15"/>
      <w:bookmarkEnd w:id="16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1000</w:t>
      </w:r>
      <w:r w:rsidR="00E30683"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.10</w:t>
      </w:r>
      <w:r w:rsidR="00C874C0"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Non-Reviewable Range</w:t>
      </w:r>
    </w:p>
    <w:p w:rsidR="00C874C0" w:rsidRPr="00DC3767" w:rsidRDefault="00F3590E" w:rsidP="00C874C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For purposes of Chapter V, Section 5, the non-reviewable range shall be from $0.0025 above to $0.0025 below the true market price for the Contract as set forth in the Exchange's Error Trade Policy.</w:t>
      </w:r>
    </w:p>
    <w:p w:rsidR="00776170" w:rsidRPr="00DC3767" w:rsidRDefault="00E92854" w:rsidP="0077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D4260" w:rsidRPr="008D4260" w:rsidRDefault="008D4260" w:rsidP="008D42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Chapter 100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D4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NFX (OPIS) Conway Propane Futures (EIKQ)</w:t>
      </w:r>
    </w:p>
    <w:p w:rsidR="008D4260" w:rsidRPr="00DC3767" w:rsidRDefault="00E92854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8D4260" w:rsidRPr="00DC3767" w:rsidRDefault="008D4260" w:rsidP="008D4260">
      <w:pPr>
        <w:spacing w:before="15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1001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.04 Last Trading Day</w:t>
      </w:r>
    </w:p>
    <w:p w:rsidR="008D4260" w:rsidRDefault="008D4260" w:rsidP="008D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Trading for a particular contract month terminates on the last business day of the contract month. Trading ceases at 5:00 PM EPT on the last trading day.</w:t>
      </w:r>
    </w:p>
    <w:p w:rsidR="008D4260" w:rsidRPr="00DC3767" w:rsidRDefault="008D4260" w:rsidP="008D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260" w:rsidRPr="00DC3767" w:rsidRDefault="00E92854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8D4260" w:rsidRPr="00DC3767" w:rsidRDefault="008D4260" w:rsidP="008D4260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1001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.06 Final and Daily Settlement and Settlement Prices</w:t>
      </w:r>
    </w:p>
    <w:p w:rsidR="008D4260" w:rsidRPr="00DC3767" w:rsidRDefault="008D4260" w:rsidP="008D4260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Final settlement for contracts held to their maturity date is by cash settlement in U.S. dollars.</w:t>
      </w:r>
    </w:p>
    <w:p w:rsidR="008D4260" w:rsidRPr="00DC3767" w:rsidRDefault="008D4260" w:rsidP="008D4260">
      <w:pPr>
        <w:autoSpaceDE w:val="0"/>
        <w:autoSpaceDN w:val="0"/>
        <w:spacing w:after="0" w:line="240" w:lineRule="auto"/>
        <w:ind w:left="480" w:hanging="300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(b)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V, Section III, the daily settlement prices will be determined by NFX using price data from a number of sources including, spot, forward and derivative markets for both physical and financial products.</w:t>
      </w:r>
    </w:p>
    <w:p w:rsidR="008D4260" w:rsidRPr="00DC3767" w:rsidRDefault="008D4260" w:rsidP="008D426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260" w:rsidRPr="00DC3767" w:rsidRDefault="008D4260" w:rsidP="008D4260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C3767">
        <w:rPr>
          <w:rFonts w:ascii="Times New Roman" w:hAnsi="Times New Roman" w:cs="Times New Roman"/>
          <w:sz w:val="24"/>
          <w:szCs w:val="24"/>
        </w:rPr>
        <w:t xml:space="preserve"> </w:t>
      </w:r>
      <w:r w:rsidRPr="008D4260">
        <w:rPr>
          <w:rFonts w:ascii="Times New Roman" w:hAnsi="Times New Roman" w:cs="Times New Roman"/>
          <w:sz w:val="24"/>
          <w:szCs w:val="24"/>
        </w:rPr>
        <w:t xml:space="preserve">Pursuant to Chapter V, Section III, the final settlement price shall be equal to the arithmetic average of the Conway Propane (in-well) </w:t>
      </w:r>
      <w:r w:rsidR="00D22065">
        <w:rPr>
          <w:rFonts w:ascii="Times New Roman" w:hAnsi="Times New Roman" w:cs="Times New Roman"/>
          <w:sz w:val="24"/>
          <w:szCs w:val="24"/>
        </w:rPr>
        <w:t xml:space="preserve">price published in the OPIS North American LPG Report </w:t>
      </w:r>
      <w:r w:rsidRPr="008D4260">
        <w:rPr>
          <w:rFonts w:ascii="Times New Roman" w:hAnsi="Times New Roman" w:cs="Times New Roman"/>
          <w:sz w:val="24"/>
          <w:szCs w:val="24"/>
        </w:rPr>
        <w:t xml:space="preserve">for each business day during the contract month. </w:t>
      </w:r>
    </w:p>
    <w:p w:rsidR="008D4260" w:rsidRPr="00DC3767" w:rsidRDefault="008D4260" w:rsidP="008D4260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If the daily settlement price described in (b) above is unavailable the Exchange may in its sole discretion establish a daily settlement price that it deems to be a fair and reasonable reflection of the market. If the final settlement price is not available or the normal settlement procedure cannot be utilized due to a trading disruption or the other unusual circumstance, the final settlement price will be determined in accordance with the Rules and By-Laws of the Clearing Corporation.</w:t>
      </w:r>
    </w:p>
    <w:p w:rsidR="008D4260" w:rsidRPr="00DC3767" w:rsidRDefault="00E92854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8D4260" w:rsidRPr="00DC3767" w:rsidRDefault="008D4260" w:rsidP="008D4260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1001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.08 Block Trade Minimum Quantity Threshold and Reporting Window</w:t>
      </w:r>
    </w:p>
    <w:p w:rsidR="008D4260" w:rsidRPr="00DC3767" w:rsidRDefault="008D4260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and the Reporting Window shall be 15 Minutes.</w:t>
      </w: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4260" w:rsidRPr="00DC3767" w:rsidRDefault="00E92854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8D4260" w:rsidRPr="00DC3767" w:rsidRDefault="008D4260" w:rsidP="008D4260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1001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.10 Non-Reviewable Range</w:t>
      </w:r>
    </w:p>
    <w:p w:rsidR="008D4260" w:rsidRDefault="008D4260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For purposes of Chapter V, Section 5, the non-reviewable range shall be from $0.0025 above to $0.0025 below the true market price for the Contract as set forth in the Exchange's Error Trade Policy.</w:t>
      </w:r>
    </w:p>
    <w:p w:rsidR="00C874C0" w:rsidRDefault="00E92854" w:rsidP="008D4260">
      <w:pPr>
        <w:keepNext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D4260" w:rsidRPr="008D4260" w:rsidRDefault="008D4260" w:rsidP="008D42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Chapter 100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D4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NFX (OPIS) Mont </w:t>
      </w:r>
      <w:proofErr w:type="spellStart"/>
      <w:r w:rsidRPr="008D4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Belvieu</w:t>
      </w:r>
      <w:proofErr w:type="spellEnd"/>
      <w:r w:rsidRPr="008D4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Non-LST Normal Butane Futures (DROQ)</w:t>
      </w:r>
    </w:p>
    <w:p w:rsidR="008D4260" w:rsidRPr="00DC3767" w:rsidRDefault="00E92854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8D4260" w:rsidRPr="00DC3767" w:rsidRDefault="008D4260" w:rsidP="008D4260">
      <w:pPr>
        <w:spacing w:before="15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1002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.04 Last Trading Day</w:t>
      </w:r>
    </w:p>
    <w:p w:rsidR="008D4260" w:rsidRDefault="008D4260" w:rsidP="008D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Trading for a particular contract month terminates on the last business day of the contract month. Trading ceases at 5:00 PM EPT on the last trading day.</w:t>
      </w:r>
    </w:p>
    <w:p w:rsidR="008D4260" w:rsidRPr="00DC3767" w:rsidRDefault="008D4260" w:rsidP="008D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260" w:rsidRPr="00DC3767" w:rsidRDefault="00E92854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8D4260" w:rsidRPr="00DC3767" w:rsidRDefault="008D4260" w:rsidP="008D4260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1002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.06 Final and Daily Settlement and Settlement Prices</w:t>
      </w:r>
    </w:p>
    <w:p w:rsidR="008D4260" w:rsidRPr="00DC3767" w:rsidRDefault="008D4260" w:rsidP="008D4260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Final settlement for contracts held to their maturity date is by cash settlement in U.S. dollars.</w:t>
      </w:r>
    </w:p>
    <w:p w:rsidR="008D4260" w:rsidRPr="00DC3767" w:rsidRDefault="008D4260" w:rsidP="008D4260">
      <w:pPr>
        <w:autoSpaceDE w:val="0"/>
        <w:autoSpaceDN w:val="0"/>
        <w:spacing w:after="0" w:line="240" w:lineRule="auto"/>
        <w:ind w:left="480" w:hanging="300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V, Section III, the daily settlement prices will be determined by NFX using price data from a number of sources including, spot, forward and derivative markets for both physical and financial products.</w:t>
      </w:r>
    </w:p>
    <w:p w:rsidR="008D4260" w:rsidRPr="00DC3767" w:rsidRDefault="008D4260" w:rsidP="008D426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260" w:rsidRPr="00DC3767" w:rsidRDefault="008D4260" w:rsidP="008D4260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C3767">
        <w:rPr>
          <w:rFonts w:ascii="Times New Roman" w:hAnsi="Times New Roman" w:cs="Times New Roman"/>
          <w:sz w:val="24"/>
          <w:szCs w:val="24"/>
        </w:rPr>
        <w:t xml:space="preserve"> </w:t>
      </w:r>
      <w:r w:rsidRPr="008D4260">
        <w:rPr>
          <w:rFonts w:ascii="Times New Roman" w:hAnsi="Times New Roman" w:cs="Times New Roman"/>
          <w:sz w:val="24"/>
          <w:szCs w:val="24"/>
        </w:rPr>
        <w:t xml:space="preserve">Pursuant to Chapter V, Section III, the final settlement price shall be equal to the arithmetic average of the Mt. </w:t>
      </w:r>
      <w:proofErr w:type="spellStart"/>
      <w:r w:rsidRPr="008D4260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8D4260">
        <w:rPr>
          <w:rFonts w:ascii="Times New Roman" w:hAnsi="Times New Roman" w:cs="Times New Roman"/>
          <w:sz w:val="24"/>
          <w:szCs w:val="24"/>
        </w:rPr>
        <w:t xml:space="preserve"> N. Butane (non-TET) </w:t>
      </w:r>
      <w:r w:rsidR="00507260">
        <w:rPr>
          <w:rFonts w:ascii="Times New Roman" w:hAnsi="Times New Roman" w:cs="Times New Roman"/>
          <w:sz w:val="24"/>
          <w:szCs w:val="24"/>
        </w:rPr>
        <w:t xml:space="preserve">price </w:t>
      </w:r>
      <w:r w:rsidR="00D22065">
        <w:rPr>
          <w:rFonts w:ascii="Times New Roman" w:hAnsi="Times New Roman" w:cs="Times New Roman"/>
          <w:sz w:val="24"/>
          <w:szCs w:val="24"/>
        </w:rPr>
        <w:t xml:space="preserve">published in the OPIS North American LPG Report </w:t>
      </w:r>
      <w:r w:rsidRPr="008D4260">
        <w:rPr>
          <w:rFonts w:ascii="Times New Roman" w:hAnsi="Times New Roman" w:cs="Times New Roman"/>
          <w:sz w:val="24"/>
          <w:szCs w:val="24"/>
        </w:rPr>
        <w:t xml:space="preserve">for each business day during the contract month. </w:t>
      </w:r>
    </w:p>
    <w:p w:rsidR="008D4260" w:rsidRPr="00DC3767" w:rsidRDefault="008D4260" w:rsidP="008D4260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If the daily settlement price described in (b) above is unavailable the Exchange may in its sole discretion establish a daily settlement price that it deems to be a fair and reasonable reflection of the market. If the final settlement price is not available or the normal settlement procedure cannot be utilized due to a trading disruption or the other unusual circumstance, the final settlement price will be determined in accordance with the Rules and By-Laws of the Clearing Corporation.</w:t>
      </w:r>
    </w:p>
    <w:p w:rsidR="008D4260" w:rsidRPr="00DC3767" w:rsidRDefault="00E92854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8D4260" w:rsidRPr="00DC3767" w:rsidRDefault="008D4260" w:rsidP="008D4260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1002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.08 Block Trade Minimum Quantity Threshold and Reporting Window</w:t>
      </w:r>
    </w:p>
    <w:p w:rsidR="008D4260" w:rsidRPr="00DC3767" w:rsidRDefault="008D4260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and the Reporting Window shall be 15 Minutes.</w:t>
      </w: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4260" w:rsidRPr="00DC3767" w:rsidRDefault="00E92854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8D4260" w:rsidRPr="00DC3767" w:rsidRDefault="008D4260" w:rsidP="008D4260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1002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.10 Non-Reviewable Range</w:t>
      </w:r>
    </w:p>
    <w:p w:rsidR="008D4260" w:rsidRPr="00DC3767" w:rsidRDefault="008D4260" w:rsidP="008D4260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For purposes of Chapter V, Section 5, the non-reviewable range shall be from $0.0025 above to $0.0025 below the true market price for the Contract as set forth in the Exchange's Error Trade Policy.</w:t>
      </w:r>
    </w:p>
    <w:p w:rsidR="00DA6173" w:rsidRDefault="00E92854" w:rsidP="008D4260">
      <w:pPr>
        <w:keepNext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DA6173" w:rsidRPr="00DA6173" w:rsidRDefault="00DA6173" w:rsidP="00DA61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Chapter 100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A6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NFX (OPIS) Mont </w:t>
      </w:r>
      <w:proofErr w:type="spellStart"/>
      <w:r w:rsidRPr="00DA6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Belvieu</w:t>
      </w:r>
      <w:proofErr w:type="spellEnd"/>
      <w:r w:rsidRPr="00DA6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Non-LST Propane Futures (PROQ)</w:t>
      </w:r>
    </w:p>
    <w:p w:rsidR="00DA6173" w:rsidRPr="00DC3767" w:rsidRDefault="00E92854" w:rsidP="00DA6173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DA6173" w:rsidRPr="00DC3767" w:rsidRDefault="00DA6173" w:rsidP="00DA6173">
      <w:pPr>
        <w:spacing w:before="15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1003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.04 Last Trading Day</w:t>
      </w:r>
    </w:p>
    <w:p w:rsidR="00DA6173" w:rsidRDefault="00DA6173" w:rsidP="00DA6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Trading for a particular contract month terminates on the last business day of the contract month. Trading ceases at 5:00 PM EPT on the last trading day.</w:t>
      </w:r>
    </w:p>
    <w:p w:rsidR="00DA6173" w:rsidRPr="00DC3767" w:rsidRDefault="00DA6173" w:rsidP="00DA6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173" w:rsidRPr="00DC3767" w:rsidRDefault="00E92854" w:rsidP="00DA6173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DA6173" w:rsidRPr="00DC3767" w:rsidRDefault="00DA6173" w:rsidP="00DA6173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1003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.06 Final and Daily Settlement and Settlement Prices</w:t>
      </w:r>
    </w:p>
    <w:p w:rsidR="00DA6173" w:rsidRPr="00DC3767" w:rsidRDefault="00DA6173" w:rsidP="00DA6173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Final settlement for contracts held to their maturity date is by cash settlement in U.S. dollars.</w:t>
      </w:r>
    </w:p>
    <w:p w:rsidR="00DA6173" w:rsidRPr="00DC3767" w:rsidRDefault="00DA6173" w:rsidP="00DA6173">
      <w:pPr>
        <w:autoSpaceDE w:val="0"/>
        <w:autoSpaceDN w:val="0"/>
        <w:spacing w:after="0" w:line="240" w:lineRule="auto"/>
        <w:ind w:left="480" w:hanging="300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V, Section III, the daily settlement prices will be determined by NFX using price data from a number of sources including, spot, forward and derivative markets for both physical and financial products.</w:t>
      </w:r>
    </w:p>
    <w:p w:rsidR="00DA6173" w:rsidRPr="00DC3767" w:rsidRDefault="00DA6173" w:rsidP="00DA617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173" w:rsidRPr="00DC3767" w:rsidRDefault="00DA6173" w:rsidP="00DA6173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(c)</w:t>
      </w:r>
      <w:r w:rsidRPr="00DC3767">
        <w:rPr>
          <w:rFonts w:ascii="Times New Roman" w:hAnsi="Times New Roman" w:cs="Times New Roman"/>
          <w:sz w:val="24"/>
          <w:szCs w:val="24"/>
        </w:rPr>
        <w:t xml:space="preserve"> </w:t>
      </w:r>
      <w:r w:rsidR="00C662EC" w:rsidRPr="00C662EC">
        <w:rPr>
          <w:rFonts w:ascii="Times New Roman" w:hAnsi="Times New Roman" w:cs="Times New Roman"/>
          <w:sz w:val="24"/>
          <w:szCs w:val="24"/>
        </w:rPr>
        <w:t xml:space="preserve">Pursuant to Chapter V, Section III, the final settlement price shall be equal to the arithmetic average of the Mt. </w:t>
      </w:r>
      <w:proofErr w:type="spellStart"/>
      <w:r w:rsidR="00C662EC" w:rsidRPr="00C662EC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="00C662EC" w:rsidRPr="00C662EC">
        <w:rPr>
          <w:rFonts w:ascii="Times New Roman" w:hAnsi="Times New Roman" w:cs="Times New Roman"/>
          <w:sz w:val="24"/>
          <w:szCs w:val="24"/>
        </w:rPr>
        <w:t xml:space="preserve"> Propane (non-TET) </w:t>
      </w:r>
      <w:r w:rsidR="00D22065">
        <w:rPr>
          <w:rFonts w:ascii="Times New Roman" w:hAnsi="Times New Roman" w:cs="Times New Roman"/>
          <w:sz w:val="24"/>
          <w:szCs w:val="24"/>
        </w:rPr>
        <w:t xml:space="preserve">price published in the OPIS North American LPG Report </w:t>
      </w:r>
      <w:r w:rsidR="00C662EC" w:rsidRPr="00C662EC">
        <w:rPr>
          <w:rFonts w:ascii="Times New Roman" w:hAnsi="Times New Roman" w:cs="Times New Roman"/>
          <w:sz w:val="24"/>
          <w:szCs w:val="24"/>
        </w:rPr>
        <w:t xml:space="preserve">for each business day during the contract month. </w:t>
      </w:r>
    </w:p>
    <w:p w:rsidR="00DA6173" w:rsidRPr="00DC3767" w:rsidRDefault="00DA6173" w:rsidP="00DA6173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If the daily settlement price described in (b) above is unavailable the Exchange may in its sole discretion establish a daily settlement price that it deems to be a fair and reasonable reflection of the market. If the final settlement price is not available or the normal settlement procedure cannot be utilized due to a trading disruption or the other unusual circumstance, the final settlement price will be determined in accordance with the Rules and By-Laws of the Clearing Corporation.</w:t>
      </w:r>
    </w:p>
    <w:p w:rsidR="00307145" w:rsidRDefault="00307145" w:rsidP="00DA6173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A6173" w:rsidRPr="00DC3767" w:rsidRDefault="00E92854" w:rsidP="00DA6173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DA6173" w:rsidRPr="00DC3767" w:rsidRDefault="00DA6173" w:rsidP="00DA6173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1003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.08 Block Trade Minimum Quantity Threshold and Reporting Window</w:t>
      </w:r>
    </w:p>
    <w:p w:rsidR="00DA6173" w:rsidRPr="00DC3767" w:rsidRDefault="00DA6173" w:rsidP="00DA6173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and the Reporting Window shall be 15 Minutes.</w:t>
      </w: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6173" w:rsidRPr="00DC3767" w:rsidRDefault="00E92854" w:rsidP="00DA6173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DA6173" w:rsidRPr="00DC3767" w:rsidRDefault="00DA6173" w:rsidP="00DA6173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1003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.10 Non-Reviewable Range</w:t>
      </w:r>
    </w:p>
    <w:p w:rsidR="00DA6173" w:rsidRPr="00DC3767" w:rsidRDefault="00DA6173" w:rsidP="00DA6173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For purposes of Chapter V, Section 5, the non-reviewable range shall be from $0.0025 above to $0.0025 below the true market price for the Contract as set forth in the Exchange's Error Trade Policy.</w:t>
      </w:r>
    </w:p>
    <w:p w:rsidR="00DA6173" w:rsidRDefault="00E92854" w:rsidP="00DA6173">
      <w:pPr>
        <w:keepNext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662EC" w:rsidRPr="00C662EC" w:rsidRDefault="00C662EC" w:rsidP="00C662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Chapter 100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662EC">
        <w:rPr>
          <w:b/>
          <w:bCs/>
          <w:color w:val="000000"/>
        </w:rPr>
        <w:t xml:space="preserve"> </w:t>
      </w:r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NFX (OPIS) Mont </w:t>
      </w:r>
      <w:proofErr w:type="spellStart"/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Belvieu</w:t>
      </w:r>
      <w:proofErr w:type="spellEnd"/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Non-LST Natural Gasoline Futures (QROQ)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1004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.04 Last Trading Day</w:t>
      </w:r>
    </w:p>
    <w:p w:rsidR="00C662EC" w:rsidRDefault="00C662EC" w:rsidP="00C6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Trading for a particular contract month terminates on the last business day of the contract month. Trading ceases at 5:00 PM EPT on the last trading day.</w:t>
      </w:r>
    </w:p>
    <w:p w:rsidR="00C662EC" w:rsidRPr="00DC3767" w:rsidRDefault="00C662EC" w:rsidP="00C6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1004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.06 Final and Daily Settlement and Settlement Prices</w:t>
      </w: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Final settlement for contracts held to their maturity date is by cash settlement in U.S. dollars.</w:t>
      </w:r>
    </w:p>
    <w:p w:rsidR="00C662EC" w:rsidRPr="00DC3767" w:rsidRDefault="00C662EC" w:rsidP="00C662EC">
      <w:pPr>
        <w:autoSpaceDE w:val="0"/>
        <w:autoSpaceDN w:val="0"/>
        <w:spacing w:after="0" w:line="240" w:lineRule="auto"/>
        <w:ind w:left="480" w:hanging="300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V, Section III, the daily settlement prices will be determined by NFX using price data from a number of sources including, spot, forward and derivative markets for both physical and financial products.</w:t>
      </w:r>
    </w:p>
    <w:p w:rsidR="00C662EC" w:rsidRPr="00DC3767" w:rsidRDefault="00C662EC" w:rsidP="00C66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(c)</w:t>
      </w:r>
      <w:r w:rsidRPr="00DC3767">
        <w:rPr>
          <w:rFonts w:ascii="Times New Roman" w:hAnsi="Times New Roman" w:cs="Times New Roman"/>
          <w:sz w:val="24"/>
          <w:szCs w:val="24"/>
        </w:rPr>
        <w:t xml:space="preserve"> </w:t>
      </w:r>
      <w:r w:rsidRPr="00C662EC">
        <w:rPr>
          <w:rFonts w:ascii="Times New Roman" w:hAnsi="Times New Roman" w:cs="Times New Roman"/>
          <w:sz w:val="24"/>
          <w:szCs w:val="24"/>
        </w:rPr>
        <w:t xml:space="preserve">Pursuant to Chapter V, Section III, the final settlement price shall be equal to the arithmetic average of the Mt. </w:t>
      </w:r>
      <w:proofErr w:type="spellStart"/>
      <w:r w:rsidRPr="00C662EC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C662EC">
        <w:rPr>
          <w:rFonts w:ascii="Times New Roman" w:hAnsi="Times New Roman" w:cs="Times New Roman"/>
          <w:sz w:val="24"/>
          <w:szCs w:val="24"/>
        </w:rPr>
        <w:t xml:space="preserve"> Natural Gasoline (non-TET) </w:t>
      </w:r>
      <w:r w:rsidR="00D22065">
        <w:rPr>
          <w:rFonts w:ascii="Times New Roman" w:hAnsi="Times New Roman" w:cs="Times New Roman"/>
          <w:sz w:val="24"/>
          <w:szCs w:val="24"/>
        </w:rPr>
        <w:t xml:space="preserve">price published in the OPIS North American LPG Report </w:t>
      </w:r>
      <w:r w:rsidRPr="00C662EC">
        <w:rPr>
          <w:rFonts w:ascii="Times New Roman" w:hAnsi="Times New Roman" w:cs="Times New Roman"/>
          <w:sz w:val="24"/>
          <w:szCs w:val="24"/>
        </w:rPr>
        <w:t xml:space="preserve">for each business day during the contract month. </w:t>
      </w: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If the daily settlement price described in (b) above is unavailable the Exchange may in its sole discretion establish a daily settlement price that it deems to be a fair and reasonable reflection of the market. If the final settlement price is not available or the normal settlement procedure cannot be utilized due to a trading disruption or the other unusual circumstance, the final settlement price will be determined in accordance with the Rules and By-Laws of the Clearing Corporation.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1004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.08 Block Trade Minimum Quantity Threshold and Reporting Window</w:t>
      </w:r>
    </w:p>
    <w:p w:rsidR="00C662EC" w:rsidRPr="00DC3767" w:rsidRDefault="00C662EC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and the Reporting Window shall be 15 Minutes.</w:t>
      </w: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1004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.10 Non-Reviewable Range</w:t>
      </w:r>
    </w:p>
    <w:p w:rsidR="00C662EC" w:rsidRPr="00DC3767" w:rsidRDefault="00C662EC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For purposes of Chapter V, Section 5, the non-reviewable range shall be from $0.0025 above to $0.0025 below the true market price for the Contract as set forth in the Exchange's Error Trade Policy.</w:t>
      </w:r>
    </w:p>
    <w:p w:rsidR="00C662EC" w:rsidRDefault="00E92854" w:rsidP="00C662EC">
      <w:pPr>
        <w:keepNext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662EC" w:rsidRPr="00C662EC" w:rsidRDefault="00C662EC" w:rsidP="00C662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Chapter 100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662EC">
        <w:rPr>
          <w:b/>
          <w:bCs/>
          <w:color w:val="000000"/>
        </w:rPr>
        <w:t xml:space="preserve"> </w:t>
      </w:r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NFX (OPIS) Mont </w:t>
      </w:r>
      <w:proofErr w:type="spellStart"/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Belvieu</w:t>
      </w:r>
      <w:proofErr w:type="spellEnd"/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Non-LST Ethane Futures (CROQ)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1005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.04 Last Trading Day</w:t>
      </w:r>
    </w:p>
    <w:p w:rsidR="00C662EC" w:rsidRDefault="00C662EC" w:rsidP="00C6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Trading for a particular contract month terminates on the last business day of the contract month. Trading ceases at 5:00 PM EPT on the last trading day.</w:t>
      </w:r>
    </w:p>
    <w:p w:rsidR="00C662EC" w:rsidRPr="00DC3767" w:rsidRDefault="00C662EC" w:rsidP="00C6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1005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.06 Final and Daily Settlement and Settlement Prices</w:t>
      </w: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Final settlement for contracts held to their maturity date is by cash settlement in U.S. dollars.</w:t>
      </w:r>
    </w:p>
    <w:p w:rsidR="00C662EC" w:rsidRPr="00DC3767" w:rsidRDefault="00C662EC" w:rsidP="00C662EC">
      <w:pPr>
        <w:autoSpaceDE w:val="0"/>
        <w:autoSpaceDN w:val="0"/>
        <w:spacing w:after="0" w:line="240" w:lineRule="auto"/>
        <w:ind w:left="480" w:hanging="300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V, Section III, the daily settlement prices will be determined by NFX using price data from a number of sources including, spot, forward and derivative markets for both physical and financial products.</w:t>
      </w:r>
    </w:p>
    <w:p w:rsidR="00C662EC" w:rsidRPr="00DC3767" w:rsidRDefault="00C662EC" w:rsidP="00C66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C3767">
        <w:rPr>
          <w:rFonts w:ascii="Times New Roman" w:hAnsi="Times New Roman" w:cs="Times New Roman"/>
          <w:sz w:val="24"/>
          <w:szCs w:val="24"/>
        </w:rPr>
        <w:t xml:space="preserve"> </w:t>
      </w:r>
      <w:r w:rsidRPr="00C662EC">
        <w:rPr>
          <w:rFonts w:ascii="Times New Roman" w:hAnsi="Times New Roman" w:cs="Times New Roman"/>
          <w:sz w:val="24"/>
          <w:szCs w:val="24"/>
        </w:rPr>
        <w:t xml:space="preserve">Pursuant to Chapter V, Section III, the final settlement price shall be equal to the arithmetic average of the Mt. </w:t>
      </w:r>
      <w:proofErr w:type="spellStart"/>
      <w:r w:rsidRPr="00C662EC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C662EC">
        <w:rPr>
          <w:rFonts w:ascii="Times New Roman" w:hAnsi="Times New Roman" w:cs="Times New Roman"/>
          <w:sz w:val="24"/>
          <w:szCs w:val="24"/>
        </w:rPr>
        <w:t xml:space="preserve"> Ethane (non-TET) </w:t>
      </w:r>
      <w:r w:rsidR="00D22065">
        <w:rPr>
          <w:rFonts w:ascii="Times New Roman" w:hAnsi="Times New Roman" w:cs="Times New Roman"/>
          <w:sz w:val="24"/>
          <w:szCs w:val="24"/>
        </w:rPr>
        <w:t xml:space="preserve">price published in the OPIS North American LPG Report </w:t>
      </w:r>
      <w:r w:rsidRPr="00C662EC">
        <w:rPr>
          <w:rFonts w:ascii="Times New Roman" w:hAnsi="Times New Roman" w:cs="Times New Roman"/>
          <w:sz w:val="24"/>
          <w:szCs w:val="24"/>
        </w:rPr>
        <w:t xml:space="preserve">for each business day during the contract month. </w:t>
      </w: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(d)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If the daily settlement price described in (b) above is unavailable the Exchange may in its sole discretion establish a daily settlement price that it deems to be a fair and reasonable reflection of the market. If the final settlement price is not available or the normal settlement procedure cannot be utilized due to a trading disruption or the other unusual circumstance, the final settlement price will be determined in accordance with the Rules and By-Laws of the Clearing Corporation.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1005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.08 Block Trade Minimum Quantity Threshold and Reporting Window</w:t>
      </w:r>
    </w:p>
    <w:p w:rsidR="00C662EC" w:rsidRPr="00DC3767" w:rsidRDefault="00C662EC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and the Reporting Window shall be 15 Minutes.</w:t>
      </w: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1005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.10 Non-Reviewable Range</w:t>
      </w:r>
    </w:p>
    <w:p w:rsidR="00C662EC" w:rsidRPr="00DC3767" w:rsidRDefault="00C662EC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For purposes of Chapter V, Section 5, the non-reviewable range shall be from $0.0025 above to $0.0025 below the true market price for the Contract as set forth in the Exchange's Error Trade Policy.</w:t>
      </w:r>
    </w:p>
    <w:p w:rsidR="00C662EC" w:rsidRPr="00E92854" w:rsidRDefault="00E92854" w:rsidP="00DA6173">
      <w:pPr>
        <w:keepNext/>
        <w:spacing w:after="24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92854">
        <w:rPr>
          <w:rFonts w:ascii="Times New Roman" w:hAnsi="Times New Roman" w:cs="Times New Roman"/>
          <w:b/>
          <w:smallCaps/>
          <w:sz w:val="24"/>
          <w:szCs w:val="24"/>
        </w:rPr>
        <w:t>*****</w:t>
      </w:r>
    </w:p>
    <w:p w:rsidR="00C662EC" w:rsidRPr="00C662EC" w:rsidRDefault="00C662EC" w:rsidP="00C662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Chapter 100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662EC">
        <w:rPr>
          <w:b/>
          <w:bCs/>
          <w:color w:val="000000"/>
        </w:rPr>
        <w:t xml:space="preserve"> </w:t>
      </w:r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NFX (OPIS) Mont </w:t>
      </w:r>
      <w:proofErr w:type="spellStart"/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Belvieu</w:t>
      </w:r>
      <w:proofErr w:type="spellEnd"/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LST Propane Futures (BROQ)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1006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.04 Last Trading Day</w:t>
      </w:r>
    </w:p>
    <w:p w:rsidR="00C662EC" w:rsidRDefault="00C662EC" w:rsidP="00C6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Trading for a particular contract month terminates on the last business day of the contract month. Trading ceases at 5:00 PM EPT on the last trading day.</w:t>
      </w:r>
    </w:p>
    <w:p w:rsidR="00C662EC" w:rsidRPr="00DC3767" w:rsidRDefault="00C662EC" w:rsidP="00C6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1006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.06 Final and Daily Settlement and Settlement Prices</w:t>
      </w: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Final settlement for contracts held to their maturity date is by cash settlement in U.S. dollars.</w:t>
      </w:r>
    </w:p>
    <w:p w:rsidR="00C662EC" w:rsidRPr="00DC3767" w:rsidRDefault="00C662EC" w:rsidP="00C662EC">
      <w:pPr>
        <w:autoSpaceDE w:val="0"/>
        <w:autoSpaceDN w:val="0"/>
        <w:spacing w:after="0" w:line="240" w:lineRule="auto"/>
        <w:ind w:left="480" w:hanging="300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V, Section III, the daily settlement prices will be determined by NFX using price data from a number of sources including, spot, forward and derivative markets for both physical and financial products.</w:t>
      </w:r>
    </w:p>
    <w:p w:rsidR="00C662EC" w:rsidRPr="00DC3767" w:rsidRDefault="00C662EC" w:rsidP="00C66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C3767">
        <w:rPr>
          <w:rFonts w:ascii="Times New Roman" w:hAnsi="Times New Roman" w:cs="Times New Roman"/>
          <w:sz w:val="24"/>
          <w:szCs w:val="24"/>
        </w:rPr>
        <w:t xml:space="preserve"> </w:t>
      </w:r>
      <w:r w:rsidRPr="00C662EC">
        <w:rPr>
          <w:rFonts w:ascii="Times New Roman" w:hAnsi="Times New Roman" w:cs="Times New Roman"/>
          <w:sz w:val="24"/>
          <w:szCs w:val="24"/>
        </w:rPr>
        <w:t xml:space="preserve">Pursuant to Chapter V, Section III, the final settlement price shall be equal to the arithmetic average of the Mt. </w:t>
      </w:r>
      <w:proofErr w:type="spellStart"/>
      <w:r w:rsidRPr="00C662EC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C662EC">
        <w:rPr>
          <w:rFonts w:ascii="Times New Roman" w:hAnsi="Times New Roman" w:cs="Times New Roman"/>
          <w:sz w:val="24"/>
          <w:szCs w:val="24"/>
        </w:rPr>
        <w:t xml:space="preserve"> Propane (TET) </w:t>
      </w:r>
      <w:r w:rsidR="00D22065">
        <w:rPr>
          <w:rFonts w:ascii="Times New Roman" w:hAnsi="Times New Roman" w:cs="Times New Roman"/>
          <w:sz w:val="24"/>
          <w:szCs w:val="24"/>
        </w:rPr>
        <w:t xml:space="preserve">price published in the OPIS North American LPG Report </w:t>
      </w:r>
      <w:r w:rsidRPr="00C662EC">
        <w:rPr>
          <w:rFonts w:ascii="Times New Roman" w:hAnsi="Times New Roman" w:cs="Times New Roman"/>
          <w:sz w:val="24"/>
          <w:szCs w:val="24"/>
        </w:rPr>
        <w:t xml:space="preserve">for each business day during the contract month. </w:t>
      </w: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daily settlement price described in (b) above is unavailable the Exchange may in its sole discretion establish a daily settlement price that it deems to be a fair and reasonable reflection of the market. If the final settlement price is not available or the normal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settlement procedure cannot be utilized due to a trading disruption or the other unusual circumstance, the final settlement price will be determined in accordance with the Rules and By-Laws of the Clearing Corporation.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1006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.08 Block Trade Minimum Quantity Threshold and Reporting Window</w:t>
      </w:r>
    </w:p>
    <w:p w:rsidR="00C662EC" w:rsidRPr="00DC3767" w:rsidRDefault="00C662EC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and the Reporting Window shall be 15 Minutes.</w:t>
      </w: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1006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.10 Non-Reviewable Range</w:t>
      </w:r>
    </w:p>
    <w:p w:rsidR="00C662EC" w:rsidRPr="00DC3767" w:rsidRDefault="00C662EC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For purposes of Chapter V, Section 5, the non-reviewable range shall be from $0.0025 above to $0.0025 below the true market price for the Contract as set forth in the Exchange's Error Trade Policy.</w:t>
      </w:r>
    </w:p>
    <w:p w:rsidR="00C662EC" w:rsidRDefault="00E92854" w:rsidP="00C662EC">
      <w:pPr>
        <w:keepNext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662EC" w:rsidRDefault="00C662EC" w:rsidP="00C662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Chapter 100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662EC">
        <w:rPr>
          <w:b/>
          <w:bCs/>
          <w:color w:val="000000"/>
        </w:rPr>
        <w:t xml:space="preserve"> </w:t>
      </w:r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NFX (OPIS) Mont </w:t>
      </w:r>
      <w:proofErr w:type="spellStart"/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Belvieu</w:t>
      </w:r>
      <w:proofErr w:type="spellEnd"/>
      <w:r w:rsidRPr="00C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LST Normal Butane Futures (MNBQ)</w:t>
      </w:r>
    </w:p>
    <w:p w:rsidR="00E92854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E92854" w:rsidRDefault="00C662EC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1007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.04 Last Trading Day</w:t>
      </w:r>
    </w:p>
    <w:p w:rsidR="00C662EC" w:rsidRPr="00DC3767" w:rsidRDefault="00C662EC" w:rsidP="00C6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Trading for a particular contract month terminates on the last business day of the contract month. Trading ceases at 5:00 PM EPT on the last trading day.</w:t>
      </w:r>
    </w:p>
    <w:p w:rsidR="00E92854" w:rsidRDefault="00E92854" w:rsidP="00C44F3D">
      <w:pPr>
        <w:spacing w:before="15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44F3D" w:rsidRDefault="00E92854" w:rsidP="00C44F3D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44F3D">
      <w:pPr>
        <w:spacing w:before="15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1007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.06 Final and Daily Settlement and Settlement Prices</w:t>
      </w: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Final settlement for contracts held to their maturity date is by cash settlement in U.S. dollars.</w:t>
      </w:r>
    </w:p>
    <w:p w:rsidR="00C662EC" w:rsidRPr="00DC3767" w:rsidRDefault="00C662EC" w:rsidP="00C662EC">
      <w:pPr>
        <w:autoSpaceDE w:val="0"/>
        <w:autoSpaceDN w:val="0"/>
        <w:spacing w:after="0" w:line="240" w:lineRule="auto"/>
        <w:ind w:left="480" w:hanging="300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V, Section III, the daily settlement prices will be determined by NFX using price data from a number of sources including, spot, forward and derivative markets for both physical and financial products.</w:t>
      </w:r>
    </w:p>
    <w:p w:rsidR="00C662EC" w:rsidRPr="00DC3767" w:rsidRDefault="00C662EC" w:rsidP="00C662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2EC" w:rsidRDefault="00C662EC" w:rsidP="00C662EC">
      <w:pPr>
        <w:spacing w:before="15" w:after="100" w:afterAutospacing="1" w:line="240" w:lineRule="atLeast"/>
        <w:ind w:left="480" w:hanging="240"/>
        <w:rPr>
          <w:rFonts w:ascii="Times New Roman" w:hAnsi="Times New Roman" w:cs="Times New Roman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C3767">
        <w:rPr>
          <w:rFonts w:ascii="Times New Roman" w:hAnsi="Times New Roman" w:cs="Times New Roman"/>
          <w:sz w:val="24"/>
          <w:szCs w:val="24"/>
        </w:rPr>
        <w:t xml:space="preserve"> </w:t>
      </w:r>
      <w:r w:rsidRPr="00C662EC">
        <w:rPr>
          <w:rFonts w:ascii="Times New Roman" w:hAnsi="Times New Roman" w:cs="Times New Roman"/>
          <w:sz w:val="24"/>
          <w:szCs w:val="24"/>
        </w:rPr>
        <w:t xml:space="preserve">Pursuant to Chapter V, Section III, the final settlement price shall be equal to the arithmetic average of the Mt. </w:t>
      </w:r>
      <w:proofErr w:type="spellStart"/>
      <w:r w:rsidRPr="00C662EC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C662EC">
        <w:rPr>
          <w:rFonts w:ascii="Times New Roman" w:hAnsi="Times New Roman" w:cs="Times New Roman"/>
          <w:sz w:val="24"/>
          <w:szCs w:val="24"/>
        </w:rPr>
        <w:t xml:space="preserve"> N. Butane (TET) </w:t>
      </w:r>
      <w:r w:rsidR="00D22065">
        <w:rPr>
          <w:rFonts w:ascii="Times New Roman" w:hAnsi="Times New Roman" w:cs="Times New Roman"/>
          <w:sz w:val="24"/>
          <w:szCs w:val="24"/>
        </w:rPr>
        <w:t xml:space="preserve">price published in the OPIS North American LPG Report </w:t>
      </w:r>
      <w:r w:rsidRPr="00C662EC">
        <w:rPr>
          <w:rFonts w:ascii="Times New Roman" w:hAnsi="Times New Roman" w:cs="Times New Roman"/>
          <w:sz w:val="24"/>
          <w:szCs w:val="24"/>
        </w:rPr>
        <w:t xml:space="preserve">for each business day during the contract month. </w:t>
      </w:r>
    </w:p>
    <w:p w:rsidR="00C662EC" w:rsidRPr="00DC3767" w:rsidRDefault="00C662EC" w:rsidP="00C662EC">
      <w:pPr>
        <w:spacing w:before="15" w:after="100" w:afterAutospacing="1" w:line="240" w:lineRule="atLeast"/>
        <w:ind w:left="48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daily settlement price described in (b) above is unavailable the Exchange may in its sole discretion establish a daily settlement price that it deems to be a fair and reasonable reflection of the market. If the final settlement price is not available or the normal </w:t>
      </w: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settlement procedure cannot be utilized due to a trading disruption or the other unusual circumstance, the final settlement price will be determined in accordance with the Rules and By-Laws of the Clearing Corporation.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1007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.08 Block Trade Minimum Quantity Threshold and Reporting Window</w:t>
      </w:r>
    </w:p>
    <w:p w:rsidR="00C662EC" w:rsidRPr="00DC3767" w:rsidRDefault="00C662EC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10 Contracts and the Reporting Window shall be 15 Minutes.</w:t>
      </w:r>
      <w:r w:rsidRPr="00DC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2EC" w:rsidRPr="00DC3767" w:rsidRDefault="00E92854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*****</w:t>
      </w:r>
    </w:p>
    <w:p w:rsidR="00C662EC" w:rsidRPr="00DC3767" w:rsidRDefault="00C662EC" w:rsidP="00C662E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1007</w:t>
      </w:r>
      <w:r w:rsidRPr="00DC3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.10 Non-Reviewable Range</w:t>
      </w:r>
    </w:p>
    <w:p w:rsidR="00C662EC" w:rsidRPr="00DC3767" w:rsidRDefault="00C662EC" w:rsidP="00C662EC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0E">
        <w:rPr>
          <w:rFonts w:ascii="Times New Roman" w:eastAsia="Times New Roman" w:hAnsi="Times New Roman" w:cs="Times New Roman"/>
          <w:color w:val="000000"/>
          <w:sz w:val="24"/>
          <w:szCs w:val="24"/>
        </w:rPr>
        <w:t>For purposes of Chapter V, Section 5, the non-reviewable range shall be from $0.0025 above to $0.0025 below the true market price for the Contract as set forth in the Exchange's Error Trade Policy.</w:t>
      </w:r>
    </w:p>
    <w:p w:rsidR="00C662EC" w:rsidRPr="00E92854" w:rsidRDefault="00E92854" w:rsidP="00C662EC">
      <w:pPr>
        <w:keepNext/>
        <w:spacing w:after="24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92854">
        <w:rPr>
          <w:rFonts w:ascii="Times New Roman" w:hAnsi="Times New Roman" w:cs="Times New Roman"/>
          <w:b/>
          <w:smallCaps/>
          <w:sz w:val="24"/>
          <w:szCs w:val="24"/>
        </w:rPr>
        <w:t>*****</w:t>
      </w:r>
    </w:p>
    <w:sectPr w:rsidR="00C662EC" w:rsidRPr="00E92854" w:rsidSect="009B46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71" w:rsidRDefault="00005D71" w:rsidP="00307BD8">
      <w:pPr>
        <w:spacing w:after="0" w:line="240" w:lineRule="auto"/>
      </w:pPr>
      <w:r>
        <w:separator/>
      </w:r>
    </w:p>
  </w:endnote>
  <w:endnote w:type="continuationSeparator" w:id="0">
    <w:p w:rsidR="00005D71" w:rsidRDefault="00005D71" w:rsidP="0030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47" w:rsidRDefault="006B0747" w:rsidP="001D3D07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92854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71" w:rsidRDefault="00005D71" w:rsidP="00307BD8">
      <w:pPr>
        <w:spacing w:after="0" w:line="240" w:lineRule="auto"/>
      </w:pPr>
      <w:r>
        <w:separator/>
      </w:r>
    </w:p>
  </w:footnote>
  <w:footnote w:type="continuationSeparator" w:id="0">
    <w:p w:rsidR="00005D71" w:rsidRDefault="00005D71" w:rsidP="0030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47" w:rsidRDefault="006B0747" w:rsidP="001D3D07">
    <w:pPr>
      <w:pStyle w:val="Header"/>
    </w:pPr>
    <w:r w:rsidRPr="005B633C">
      <w:t xml:space="preserve">NFX </w:t>
    </w:r>
    <w:r w:rsidR="00C874C0">
      <w:t>NGL Financial Futures</w:t>
    </w:r>
  </w:p>
  <w:p w:rsidR="006B0747" w:rsidRDefault="00C874C0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747F77">
      <w:rPr>
        <w:noProof/>
      </w:rPr>
      <w:t>October 3, 2017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3"/>
    <w:rsid w:val="00005D71"/>
    <w:rsid w:val="0005753E"/>
    <w:rsid w:val="00064449"/>
    <w:rsid w:val="000B7902"/>
    <w:rsid w:val="000D70E6"/>
    <w:rsid w:val="000E7BC3"/>
    <w:rsid w:val="0014196D"/>
    <w:rsid w:val="00142D41"/>
    <w:rsid w:val="001D0FAD"/>
    <w:rsid w:val="001D3D07"/>
    <w:rsid w:val="001E3503"/>
    <w:rsid w:val="00211680"/>
    <w:rsid w:val="002371A0"/>
    <w:rsid w:val="002578F2"/>
    <w:rsid w:val="00267173"/>
    <w:rsid w:val="00272F72"/>
    <w:rsid w:val="002C392D"/>
    <w:rsid w:val="002D035F"/>
    <w:rsid w:val="002D6959"/>
    <w:rsid w:val="002F77D1"/>
    <w:rsid w:val="00307145"/>
    <w:rsid w:val="00307BD8"/>
    <w:rsid w:val="003222B2"/>
    <w:rsid w:val="0032679D"/>
    <w:rsid w:val="0033437F"/>
    <w:rsid w:val="0034089D"/>
    <w:rsid w:val="00344167"/>
    <w:rsid w:val="003A6069"/>
    <w:rsid w:val="003C6AB6"/>
    <w:rsid w:val="003C7D77"/>
    <w:rsid w:val="003F0D2B"/>
    <w:rsid w:val="00432C3A"/>
    <w:rsid w:val="004538D7"/>
    <w:rsid w:val="0049080A"/>
    <w:rsid w:val="004B3167"/>
    <w:rsid w:val="004C49F0"/>
    <w:rsid w:val="004D2868"/>
    <w:rsid w:val="004F7A4E"/>
    <w:rsid w:val="00507260"/>
    <w:rsid w:val="005220F9"/>
    <w:rsid w:val="0053277F"/>
    <w:rsid w:val="005A3392"/>
    <w:rsid w:val="005C1958"/>
    <w:rsid w:val="006012CB"/>
    <w:rsid w:val="00636EAF"/>
    <w:rsid w:val="00646191"/>
    <w:rsid w:val="00682DE7"/>
    <w:rsid w:val="006A3807"/>
    <w:rsid w:val="006A7DC6"/>
    <w:rsid w:val="006B0747"/>
    <w:rsid w:val="006D19A1"/>
    <w:rsid w:val="006D5461"/>
    <w:rsid w:val="006F30EA"/>
    <w:rsid w:val="00747F77"/>
    <w:rsid w:val="00766633"/>
    <w:rsid w:val="00776170"/>
    <w:rsid w:val="00797F92"/>
    <w:rsid w:val="007F06C3"/>
    <w:rsid w:val="00807880"/>
    <w:rsid w:val="00822745"/>
    <w:rsid w:val="008417D8"/>
    <w:rsid w:val="0087578D"/>
    <w:rsid w:val="00886626"/>
    <w:rsid w:val="00887C70"/>
    <w:rsid w:val="008D4260"/>
    <w:rsid w:val="008E17C1"/>
    <w:rsid w:val="00904FC1"/>
    <w:rsid w:val="00927D35"/>
    <w:rsid w:val="0093104F"/>
    <w:rsid w:val="00953879"/>
    <w:rsid w:val="00966734"/>
    <w:rsid w:val="009A7657"/>
    <w:rsid w:val="009B4623"/>
    <w:rsid w:val="009E0230"/>
    <w:rsid w:val="00A35CBB"/>
    <w:rsid w:val="00A3701F"/>
    <w:rsid w:val="00A814B8"/>
    <w:rsid w:val="00A9518C"/>
    <w:rsid w:val="00AB49B8"/>
    <w:rsid w:val="00AC2496"/>
    <w:rsid w:val="00B03EE0"/>
    <w:rsid w:val="00B072A1"/>
    <w:rsid w:val="00B07B5E"/>
    <w:rsid w:val="00B13147"/>
    <w:rsid w:val="00B53C5C"/>
    <w:rsid w:val="00B55EF7"/>
    <w:rsid w:val="00B67D0E"/>
    <w:rsid w:val="00BF3998"/>
    <w:rsid w:val="00C17B98"/>
    <w:rsid w:val="00C17CAC"/>
    <w:rsid w:val="00C27E4D"/>
    <w:rsid w:val="00C3066A"/>
    <w:rsid w:val="00C43092"/>
    <w:rsid w:val="00C44F3D"/>
    <w:rsid w:val="00C45C07"/>
    <w:rsid w:val="00C521BE"/>
    <w:rsid w:val="00C662EC"/>
    <w:rsid w:val="00C77EEA"/>
    <w:rsid w:val="00C874C0"/>
    <w:rsid w:val="00CA4855"/>
    <w:rsid w:val="00D22065"/>
    <w:rsid w:val="00D313C7"/>
    <w:rsid w:val="00D402C9"/>
    <w:rsid w:val="00D549DC"/>
    <w:rsid w:val="00D622F1"/>
    <w:rsid w:val="00D928E4"/>
    <w:rsid w:val="00DA5657"/>
    <w:rsid w:val="00DA6173"/>
    <w:rsid w:val="00DB1C5A"/>
    <w:rsid w:val="00DB2B31"/>
    <w:rsid w:val="00DC3767"/>
    <w:rsid w:val="00DC62EA"/>
    <w:rsid w:val="00DD5617"/>
    <w:rsid w:val="00DF3D4F"/>
    <w:rsid w:val="00DF7DB4"/>
    <w:rsid w:val="00E20042"/>
    <w:rsid w:val="00E30683"/>
    <w:rsid w:val="00E47241"/>
    <w:rsid w:val="00E47F82"/>
    <w:rsid w:val="00E755A1"/>
    <w:rsid w:val="00E860D1"/>
    <w:rsid w:val="00E92854"/>
    <w:rsid w:val="00E93862"/>
    <w:rsid w:val="00EB5694"/>
    <w:rsid w:val="00F04639"/>
    <w:rsid w:val="00F1299C"/>
    <w:rsid w:val="00F17789"/>
    <w:rsid w:val="00F2643F"/>
    <w:rsid w:val="00F30F77"/>
    <w:rsid w:val="00F3590E"/>
    <w:rsid w:val="00F968B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12616-4129-4731-945B-FF3EF4C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87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874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7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B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BD8"/>
    <w:rPr>
      <w:vertAlign w:val="superscript"/>
    </w:rPr>
  </w:style>
  <w:style w:type="table" w:styleId="TableGrid">
    <w:name w:val="Table Grid"/>
    <w:basedOn w:val="TableNormal"/>
    <w:uiPriority w:val="59"/>
    <w:rsid w:val="001D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07"/>
  </w:style>
  <w:style w:type="paragraph" w:styleId="Footer">
    <w:name w:val="footer"/>
    <w:basedOn w:val="Normal"/>
    <w:link w:val="FooterChar"/>
    <w:uiPriority w:val="99"/>
    <w:unhideWhenUsed/>
    <w:rsid w:val="001D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07"/>
  </w:style>
  <w:style w:type="character" w:styleId="CommentReference">
    <w:name w:val="annotation reference"/>
    <w:basedOn w:val="DefaultParagraphFont"/>
    <w:uiPriority w:val="99"/>
    <w:semiHidden/>
    <w:unhideWhenUsed/>
    <w:rsid w:val="00D40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C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874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4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1">
    <w:name w:val="ol-1"/>
    <w:basedOn w:val="Normal"/>
    <w:rsid w:val="00C8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177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5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cb75f590-d5c7-431a-9b7b-3c31ff185d2c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2017-10-11T21:24:14+00:00</Document_x0020_Date>
    <Document_x0020_No xmlns="4b47aac5-4c46-444f-8595-ce09b406fc61">33662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F1F3C0AB-EEE4-4513-A458-B0570B2D70D5}"/>
</file>

<file path=customXml/itemProps2.xml><?xml version="1.0" encoding="utf-8"?>
<ds:datastoreItem xmlns:ds="http://schemas.openxmlformats.org/officeDocument/2006/customXml" ds:itemID="{F1021EE1-3B80-414D-A375-13436D64E6E7}"/>
</file>

<file path=customXml/itemProps3.xml><?xml version="1.0" encoding="utf-8"?>
<ds:datastoreItem xmlns:ds="http://schemas.openxmlformats.org/officeDocument/2006/customXml" ds:itemID="{CE28D46E-33D4-40F9-9250-FEC8ED140644}"/>
</file>

<file path=customXml/itemProps4.xml><?xml version="1.0" encoding="utf-8"?>
<ds:datastoreItem xmlns:ds="http://schemas.openxmlformats.org/officeDocument/2006/customXml" ds:itemID="{3EEFB2E7-7679-4AD8-B9F8-4FDC081DE7EF}"/>
</file>

<file path=customXml/itemProps5.xml><?xml version="1.0" encoding="utf-8"?>
<ds:datastoreItem xmlns:ds="http://schemas.openxmlformats.org/officeDocument/2006/customXml" ds:itemID="{C14AFBDD-4CF7-4048-8342-A3E637BE7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Shari Bradford</dc:creator>
  <cp:lastModifiedBy>Aravind Menon</cp:lastModifiedBy>
  <cp:revision>3</cp:revision>
  <dcterms:created xsi:type="dcterms:W3CDTF">2017-10-03T19:11:00Z</dcterms:created>
  <dcterms:modified xsi:type="dcterms:W3CDTF">2017-10-03T19:16:00Z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\Cftc.gov</vt:lpwstr>
  </property>
  <property fmtid="{D5CDD505-2E9C-101B-9397-08002B2CF9AE}" pid="4" name="Order">
    <vt:r8>4366100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