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66" w:rsidRPr="00E52B9C" w:rsidRDefault="00161E66" w:rsidP="00161E66">
      <w:pPr>
        <w:ind w:firstLine="720"/>
        <w:contextualSpacing/>
        <w:jc w:val="center"/>
        <w:rPr>
          <w:rFonts w:ascii="Times New Roman" w:hAnsi="Times New Roman" w:cs="Times New Roman"/>
          <w:b/>
          <w:sz w:val="24"/>
          <w:szCs w:val="24"/>
          <w:u w:val="single"/>
        </w:rPr>
      </w:pPr>
      <w:r w:rsidRPr="00E52B9C">
        <w:rPr>
          <w:rFonts w:ascii="Times New Roman" w:hAnsi="Times New Roman" w:cs="Times New Roman"/>
          <w:b/>
          <w:sz w:val="24"/>
          <w:szCs w:val="24"/>
          <w:u w:val="single"/>
        </w:rPr>
        <w:t>Rulebook Appendix A - Listed Contracts</w:t>
      </w:r>
    </w:p>
    <w:p w:rsidR="00161E66" w:rsidRPr="00E52B9C" w:rsidRDefault="00161E66" w:rsidP="00161E66">
      <w:pPr>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Introduction</w:t>
      </w:r>
    </w:p>
    <w:p w:rsidR="00161E66" w:rsidRPr="00E52B9C" w:rsidRDefault="00161E66" w:rsidP="00161E66">
      <w:pPr>
        <w:contextualSpacing/>
        <w:jc w:val="center"/>
        <w:rPr>
          <w:rFonts w:ascii="Times New Roman" w:hAnsi="Times New Roman" w:cs="Times New Roman"/>
          <w:sz w:val="24"/>
          <w:szCs w:val="24"/>
          <w:u w:val="single"/>
        </w:rPr>
      </w:pPr>
      <w:r w:rsidRPr="00E52B9C">
        <w:rPr>
          <w:rFonts w:ascii="Times New Roman" w:hAnsi="Times New Roman" w:cs="Times New Roman"/>
          <w:sz w:val="24"/>
          <w:szCs w:val="24"/>
          <w:u w:val="single"/>
        </w:rPr>
        <w:t>* * * * *</w:t>
      </w:r>
    </w:p>
    <w:p w:rsidR="00161E66" w:rsidRPr="00E52B9C" w:rsidRDefault="00161E66" w:rsidP="00161E66">
      <w:pPr>
        <w:contextualSpacing/>
        <w:jc w:val="center"/>
        <w:rPr>
          <w:rFonts w:ascii="Times New Roman" w:hAnsi="Times New Roman" w:cs="Times New Roman"/>
          <w:sz w:val="24"/>
          <w:szCs w:val="24"/>
          <w:u w:val="single"/>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32"/>
        <w:gridCol w:w="7933"/>
      </w:tblGrid>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 xml:space="preserve">OIL AND REFINED PRODUCTS </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114</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Argus WTI Trade Month Futures (VSAQ)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115</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Midland (Argus) Trade Month Basis Futures (MIDQ)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116</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Midland (Argus) Trade Month Futures (WTIQ)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117</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Midland (Argus) Basis Futures (MIDC)</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118</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Midland (Argus) Financial Futures (XBAQ)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119</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LLS (Argus) Trade Month Basis Futures (LLTQ)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120</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LLS (Argus) Trade Month Futures (AFOQ)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121</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LLS (Argus) Basis Futures (LLCQ)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122</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LLS (Argus) Financial Futures (LLFQ)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123</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Mars (Argus) Trade Month Basis Futures (MARQ)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124</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Mars (Argus) Trade Month Futures (MOAQ)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125</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Mars (Argus) Basis Futures (MARC)</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126</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Mars (Argus) Financial Futures (MXAQ)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127</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Houston (Argus) Trade Month Basis Futures (MEHQ)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128</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Houston (Argus) Trade Month Futures (HTAQ)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129</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Houston (Argus) Basis Futures (MEHC)</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130</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WTI Houston (Argus) Financial Futures (HIAQ)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131</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WTS (Argus) Trade Month Basis Futures (FHAQ)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132</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WTS (Argus) Trade Month Futures (AYAQ)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133</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WTS (Argus) Basis Futures (WTAQ)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134</w:t>
            </w: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NFX WTS (Argus) Financial Futures (WTSQ)</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 xml:space="preserve">NATURAL GAS PRODUCTS – No Change </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POWER CONTRACTS – No Change</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PETROCHEMICALS PRODUCTS – No Change</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FERROUS METALS – No Change</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TANKER FREIGHT – No Change</w:t>
            </w: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r>
      <w:tr w:rsidR="00161E66" w:rsidRPr="00E52B9C" w:rsidTr="00CC47A5">
        <w:trPr>
          <w:cantSplit/>
        </w:trPr>
        <w:tc>
          <w:tcPr>
            <w:tcW w:w="1432" w:type="dxa"/>
          </w:tcPr>
          <w:p w:rsidR="00161E66" w:rsidRPr="00E52B9C" w:rsidRDefault="00161E66" w:rsidP="00CC47A5">
            <w:pPr>
              <w:spacing w:line="240" w:lineRule="auto"/>
              <w:contextualSpacing/>
              <w:rPr>
                <w:rFonts w:ascii="Times New Roman" w:hAnsi="Times New Roman" w:cs="Times New Roman"/>
                <w:b/>
                <w:sz w:val="24"/>
                <w:szCs w:val="24"/>
                <w:u w:val="single"/>
              </w:rPr>
            </w:pPr>
          </w:p>
        </w:tc>
        <w:tc>
          <w:tcPr>
            <w:tcW w:w="7933" w:type="dxa"/>
          </w:tcPr>
          <w:p w:rsidR="00161E66" w:rsidRPr="00E52B9C" w:rsidRDefault="00161E66" w:rsidP="00CC47A5">
            <w:pPr>
              <w:spacing w:line="240" w:lineRule="auto"/>
              <w:contextualSpacing/>
              <w:rPr>
                <w:rFonts w:ascii="Times New Roman" w:hAnsi="Times New Roman" w:cs="Times New Roman"/>
                <w:b/>
                <w:sz w:val="24"/>
                <w:szCs w:val="24"/>
                <w:u w:val="single"/>
              </w:rPr>
            </w:pPr>
            <w:r w:rsidRPr="00E52B9C">
              <w:rPr>
                <w:rFonts w:ascii="Times New Roman" w:hAnsi="Times New Roman" w:cs="Times New Roman"/>
                <w:b/>
                <w:sz w:val="24"/>
                <w:szCs w:val="24"/>
                <w:u w:val="single"/>
              </w:rPr>
              <w:t>DRY FREIGHT – No Change</w:t>
            </w:r>
          </w:p>
        </w:tc>
      </w:tr>
    </w:tbl>
    <w:p w:rsidR="00161E66" w:rsidRPr="00E52B9C" w:rsidRDefault="00161E66" w:rsidP="00161E66">
      <w:pPr>
        <w:contextualSpacing/>
        <w:jc w:val="center"/>
        <w:rPr>
          <w:rFonts w:ascii="Times New Roman" w:hAnsi="Times New Roman" w:cs="Times New Roman"/>
          <w:sz w:val="24"/>
          <w:szCs w:val="24"/>
          <w:u w:val="single"/>
        </w:rPr>
      </w:pPr>
    </w:p>
    <w:p w:rsidR="00161E66" w:rsidRPr="00E52B9C" w:rsidRDefault="00161E66" w:rsidP="00161E66">
      <w:pPr>
        <w:contextualSpacing/>
        <w:jc w:val="center"/>
        <w:rPr>
          <w:rFonts w:ascii="Times New Roman" w:hAnsi="Times New Roman" w:cs="Times New Roman"/>
          <w:sz w:val="24"/>
          <w:szCs w:val="24"/>
          <w:u w:val="single"/>
        </w:rPr>
      </w:pPr>
      <w:r w:rsidRPr="00E52B9C">
        <w:rPr>
          <w:rFonts w:ascii="Times New Roman" w:hAnsi="Times New Roman" w:cs="Times New Roman"/>
          <w:sz w:val="24"/>
          <w:szCs w:val="24"/>
          <w:u w:val="single"/>
        </w:rPr>
        <w:t>* * * * *</w:t>
      </w:r>
    </w:p>
    <w:p w:rsidR="00161E66" w:rsidRPr="00E52B9C" w:rsidRDefault="00161E66" w:rsidP="00161E66">
      <w:pPr>
        <w:contextualSpacing/>
        <w:jc w:val="center"/>
        <w:rPr>
          <w:rFonts w:ascii="Times New Roman" w:hAnsi="Times New Roman" w:cs="Times New Roman"/>
          <w:sz w:val="24"/>
          <w:szCs w:val="24"/>
          <w:u w:val="single"/>
        </w:rPr>
      </w:pP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lastRenderedPageBreak/>
        <w:t xml:space="preserve">Chapter </w:t>
      </w:r>
      <w:r w:rsidRPr="00E52B9C">
        <w:rPr>
          <w:rFonts w:ascii="Times New Roman" w:hAnsi="Times New Roman" w:cs="Times New Roman"/>
          <w:b/>
          <w:noProof/>
          <w:color w:val="000000"/>
          <w:sz w:val="24"/>
          <w:szCs w:val="24"/>
          <w:u w:val="single"/>
        </w:rPr>
        <w:t>114.</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Argus WTI Trade Month Futures (VSAQ)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WTI (1st month) average price under the heading “WTI Formula Basis” from Argus Media for each business day that it is determined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114</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10, block trades shall be permitted with a minimum quantity threshold of 10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114</w:t>
      </w:r>
      <w:r w:rsidRPr="00E52B9C">
        <w:rPr>
          <w:rFonts w:ascii="Times New Roman" w:eastAsia="Times New Roman" w:hAnsi="Times New Roman" w:cs="Times New Roman"/>
          <w:b/>
          <w:bCs/>
          <w:color w:val="000000"/>
          <w:sz w:val="24"/>
          <w:szCs w:val="24"/>
          <w:u w:val="single"/>
        </w:rPr>
        <w:t>.11 Disclaimer</w:t>
      </w:r>
    </w:p>
    <w:p w:rsidR="00CC47A5" w:rsidRPr="00E52B9C" w:rsidRDefault="00F87D04"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Formula Basis Outright are trademarks and are used under license from Argus Media Limited.  All copyrights and database rights in the WTI Formula Basis Outright belong exclusively to the Argus Media group and are used herein under license.  Argus takes no position on the purchase or sale of NFX products which reference Argus or the WTI Formula Basis Outright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115.</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Midland (Argus) Trade Month Basis Futures (MIDQ)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115</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WTI Midland (1st month) differential weighted average (Diff wtd avg) price from Argus Media, which is based on the weighted average floating price of WTI Midland minus the NFX Argus WTI Trade Month Futures (VSAQ) price, for the Trade month period beginning with the first business day after the 25th calendar day two months prior to the contract month through the last business day that falls on or before the 25th calendar day of the month prior to the contract month. If the 25th calendar is a weekend or a holiday, the Trade month period shall end on the first business day prior to the 25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7D5137"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w:t>
      </w:r>
      <w:r w:rsidR="007D5137"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above and $0.</w:t>
      </w:r>
      <w:r w:rsidR="007D5137"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115</w:t>
      </w:r>
      <w:r w:rsidRPr="00E52B9C">
        <w:rPr>
          <w:rFonts w:ascii="Times New Roman" w:eastAsia="Times New Roman" w:hAnsi="Times New Roman" w:cs="Times New Roman"/>
          <w:b/>
          <w:bCs/>
          <w:color w:val="000000"/>
          <w:sz w:val="24"/>
          <w:szCs w:val="24"/>
          <w:u w:val="single"/>
        </w:rPr>
        <w:t>.11 Disclaimer</w:t>
      </w:r>
    </w:p>
    <w:p w:rsidR="007D5137" w:rsidRPr="00E52B9C" w:rsidRDefault="007D5137"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 xml:space="preserve">ARGUS, ARGUS MEDIA, the ARGUS Logo, WTI Midland Weighted Average Month 1 - Houston Close Diff Index are trademarks and are used under license from Argus Media Limited.  All copyrights and database rights in the WTI Midland Weighted Average Month 1 - Houston Close Diff Index belong exclusively to the Argus Media group and are used herein under license.  Argus takes no position on the purchase or sale of NFX products which reference </w:t>
      </w:r>
      <w:r w:rsidRPr="00E52B9C">
        <w:rPr>
          <w:rFonts w:ascii="Times New Roman" w:hAnsi="Times New Roman" w:cs="Times New Roman"/>
          <w:noProof/>
          <w:sz w:val="24"/>
          <w:szCs w:val="24"/>
          <w:u w:val="single"/>
        </w:rPr>
        <w:lastRenderedPageBreak/>
        <w:t>Argus or the WTI Midland Weighted Average Month 1 - Houston Close Diff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116.</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Midland (Argus) Trade Month Futures (WTIQ)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WTI Midland (1st month) weighted average price from Argus Media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 xml:space="preserve">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w:t>
      </w:r>
      <w:r w:rsidRPr="00E52B9C">
        <w:rPr>
          <w:rFonts w:ascii="Times New Roman" w:eastAsia="Times New Roman" w:hAnsi="Times New Roman" w:cs="Times New Roman"/>
          <w:color w:val="000000"/>
          <w:sz w:val="24"/>
          <w:szCs w:val="24"/>
          <w:u w:val="single"/>
        </w:rPr>
        <w:lastRenderedPageBreak/>
        <w:t>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EE738E"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w:t>
      </w:r>
      <w:r w:rsidR="00EE738E"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above and $0.</w:t>
      </w:r>
      <w:r w:rsidR="00EE738E"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116</w:t>
      </w:r>
      <w:r w:rsidRPr="00E52B9C">
        <w:rPr>
          <w:rFonts w:ascii="Times New Roman" w:eastAsia="Times New Roman" w:hAnsi="Times New Roman" w:cs="Times New Roman"/>
          <w:b/>
          <w:bCs/>
          <w:color w:val="000000"/>
          <w:sz w:val="24"/>
          <w:szCs w:val="24"/>
          <w:u w:val="single"/>
        </w:rPr>
        <w:t>.11 Disclaimer</w:t>
      </w:r>
    </w:p>
    <w:p w:rsidR="00EE738E" w:rsidRPr="00E52B9C" w:rsidRDefault="00EE738E"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Midland Weighted Average Month 1 - Houston Close Index are trademarks and are used under license from Argus Media Limited.  All copyrights and database rights in the WTI Midland Weighted Average Month 1 - Houston Close Index belong exclusively to the Argus Media group and are used herein under license.  Argus takes no position on the purchase or sale of NFX products which reference Argus or the WTI Midland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117.</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Midland (Argus) Basis Futures (MIDC)</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117</w:t>
      </w:r>
      <w:r w:rsidRPr="00E52B9C">
        <w:rPr>
          <w:rFonts w:ascii="Times New Roman" w:eastAsia="Times New Roman" w:hAnsi="Times New Roman" w:cs="Times New Roman"/>
          <w:b/>
          <w:bCs/>
          <w:color w:val="000000"/>
          <w:sz w:val="24"/>
          <w:szCs w:val="24"/>
          <w:u w:val="single"/>
        </w:rPr>
        <w:t>.04 Last Trading Day</w:t>
      </w:r>
    </w:p>
    <w:p w:rsidR="003B782E" w:rsidRDefault="00EE738E"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bookmarkStart w:id="0" w:name="_GoBack"/>
      <w:bookmarkEnd w:id="0"/>
    </w:p>
    <w:p w:rsidR="003B782E" w:rsidRDefault="003B782E"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differential of the WTI Midland (1st month) weighted average price from Argus Media minus the NFX WTI 1st Line Financial Futures (RTIQ) first nearby contract month settlement price for each business day that both are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F91C68"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F91C68"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F91C68"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117</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117</w:t>
      </w:r>
      <w:r w:rsidRPr="00E52B9C">
        <w:rPr>
          <w:rFonts w:ascii="Times New Roman" w:eastAsia="Times New Roman" w:hAnsi="Times New Roman" w:cs="Times New Roman"/>
          <w:b/>
          <w:bCs/>
          <w:color w:val="000000"/>
          <w:sz w:val="24"/>
          <w:szCs w:val="24"/>
          <w:u w:val="single"/>
        </w:rPr>
        <w:t>.11 Disclaimer</w:t>
      </w:r>
    </w:p>
    <w:p w:rsidR="00F91C68" w:rsidRPr="00E52B9C" w:rsidRDefault="00F91C68"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Midland Weighted Average Month 1 - Houston Close Index are trademarks and are used under license from Argus Media Limited.  All copyrights and database rights in the WTI Midland Weighted Average Month 1 - Houston Close Index belong exclusively to the Argus Media group and are used herein under license.  Argus takes no position on the purchase or sale of NFX products which reference Argus or the WTI Midland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118.</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Midland (Argus) Financial Futures (XBAQ)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.04 Last Trading Day</w:t>
      </w:r>
    </w:p>
    <w:p w:rsidR="00F87D04" w:rsidRPr="00E52B9C" w:rsidRDefault="00F91C68"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w:t>
      </w:r>
      <w:r w:rsidR="00F87D04" w:rsidRPr="00E52B9C">
        <w:rPr>
          <w:rFonts w:ascii="Times New Roman" w:eastAsia="Times New Roman" w:hAnsi="Times New Roman" w:cs="Times New Roman"/>
          <w:color w:val="000000"/>
          <w:sz w:val="24"/>
          <w:szCs w:val="24"/>
          <w:u w:val="single"/>
        </w:rPr>
        <w:t xml:space="preserve">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WTI Midland (1st month) weighted average price from Argus Media for each business day that it is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 xml:space="preserve">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w:t>
      </w:r>
      <w:r w:rsidRPr="00E52B9C">
        <w:rPr>
          <w:rFonts w:ascii="Times New Roman" w:eastAsia="Times New Roman" w:hAnsi="Times New Roman" w:cs="Times New Roman"/>
          <w:color w:val="000000"/>
          <w:sz w:val="24"/>
          <w:szCs w:val="24"/>
          <w:u w:val="single"/>
        </w:rPr>
        <w:lastRenderedPageBreak/>
        <w:t>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10, block trades shall be permitted with a minimum quantity threshold of 10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118</w:t>
      </w:r>
      <w:r w:rsidRPr="00E52B9C">
        <w:rPr>
          <w:rFonts w:ascii="Times New Roman" w:eastAsia="Times New Roman" w:hAnsi="Times New Roman" w:cs="Times New Roman"/>
          <w:b/>
          <w:bCs/>
          <w:color w:val="000000"/>
          <w:sz w:val="24"/>
          <w:szCs w:val="24"/>
          <w:u w:val="single"/>
        </w:rPr>
        <w:t>.11 Disclaimer</w:t>
      </w:r>
    </w:p>
    <w:p w:rsidR="00F91C68" w:rsidRPr="00E52B9C" w:rsidRDefault="00F91C68"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Midland Weighted Average Month 1 - Houston Close Index are trademarks and are used under license from Argus Media Limited.  All copyrights and database rights in the WTI Midland Weighted Average Month 1 - Houston Close Index belong exclusively to the Argus Media group and are used herein under license.  Argus takes no position on the purchase or sale of NFX products which reference Argus or the WTI Midland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119.</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LLS (Argus) Trade Month Basis Futures (LLTQ)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119</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LLS (1st month) differential weighted average (Diff wtd avg) price from Argus Media, which is based on the weighted average floating price of LLS minus the NFX Argus WTI Trade Month Futures (VSAQ) price,</w:t>
      </w:r>
      <w:r w:rsidR="001405FE">
        <w:rPr>
          <w:rFonts w:ascii="Times New Roman" w:hAnsi="Times New Roman" w:cs="Times New Roman"/>
          <w:noProof/>
          <w:color w:val="000000"/>
          <w:sz w:val="24"/>
          <w:szCs w:val="24"/>
          <w:u w:val="single"/>
        </w:rPr>
        <w:t xml:space="preserve"> </w:t>
      </w:r>
      <w:r w:rsidRPr="00E52B9C">
        <w:rPr>
          <w:rFonts w:ascii="Times New Roman" w:hAnsi="Times New Roman" w:cs="Times New Roman"/>
          <w:noProof/>
          <w:color w:val="000000"/>
          <w:sz w:val="24"/>
          <w:szCs w:val="24"/>
          <w:u w:val="single"/>
        </w:rPr>
        <w:t>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F91C68"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F91C68"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F91C68"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119</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119</w:t>
      </w:r>
      <w:r w:rsidRPr="00E52B9C">
        <w:rPr>
          <w:rFonts w:ascii="Times New Roman" w:eastAsia="Times New Roman" w:hAnsi="Times New Roman" w:cs="Times New Roman"/>
          <w:b/>
          <w:bCs/>
          <w:color w:val="000000"/>
          <w:sz w:val="24"/>
          <w:szCs w:val="24"/>
          <w:u w:val="single"/>
        </w:rPr>
        <w:t>.11 Disclaimer</w:t>
      </w:r>
    </w:p>
    <w:p w:rsidR="00F91C68" w:rsidRPr="00E52B9C" w:rsidRDefault="00F91C68"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LLS Weighted Average Month 1 - Houston Close Diff Index are trademarks and are used under license from Argus Media Limited.  All copyrights and database rights in the LLS Weighted Average Month 1 - Houston Close Diff Index belong exclusively to the Argus Media group and are used herein under license.  Argus takes no position on the purchase or sale of NFX products which reference Argus or the LLS Weighted Average Month 1 - Houston Close Diff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120.</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LLS (Argus) Trade Month Futures (AFOQ)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 xml:space="preserve">Pursuant to Chapter V, Section III, the final settlement price shall be equal to the arithmetic average of the LLS (1st month) weighted average (wtd avg) outright price from Argus Media for each business day that it is determined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w:t>
      </w:r>
      <w:r w:rsidRPr="00E52B9C">
        <w:rPr>
          <w:rFonts w:ascii="Times New Roman" w:hAnsi="Times New Roman" w:cs="Times New Roman"/>
          <w:noProof/>
          <w:color w:val="000000"/>
          <w:sz w:val="24"/>
          <w:szCs w:val="24"/>
          <w:u w:val="single"/>
        </w:rPr>
        <w:lastRenderedPageBreak/>
        <w:t>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10, block trades shall be permitted with a minimum quantity threshold of 10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120</w:t>
      </w:r>
      <w:r w:rsidRPr="00E52B9C">
        <w:rPr>
          <w:rFonts w:ascii="Times New Roman" w:eastAsia="Times New Roman" w:hAnsi="Times New Roman" w:cs="Times New Roman"/>
          <w:b/>
          <w:bCs/>
          <w:color w:val="000000"/>
          <w:sz w:val="24"/>
          <w:szCs w:val="24"/>
          <w:u w:val="single"/>
        </w:rPr>
        <w:t>.11 Disclaimer</w:t>
      </w:r>
    </w:p>
    <w:p w:rsidR="00D508E1" w:rsidRPr="00E52B9C" w:rsidRDefault="00D508E1"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LLS Weighted Average Month 1 - Houston Close Index are trademarks and are used under license from Argus Media Limited.  All copyrights and database rights in the LLS Weighted Average Month 1 - Houston Close Index belong exclusively to the Argus Media group and are used herein under license.  Argus takes no position on the purchase or sale of NFX products which reference Argus or the LLS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121.</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LLS (Argus) Basis Futures (LLCQ)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121</w:t>
      </w:r>
      <w:r w:rsidRPr="00E52B9C">
        <w:rPr>
          <w:rFonts w:ascii="Times New Roman" w:eastAsia="Times New Roman" w:hAnsi="Times New Roman" w:cs="Times New Roman"/>
          <w:b/>
          <w:bCs/>
          <w:color w:val="000000"/>
          <w:sz w:val="24"/>
          <w:szCs w:val="24"/>
          <w:u w:val="single"/>
        </w:rPr>
        <w:t>.04 Last Trading Day</w:t>
      </w:r>
    </w:p>
    <w:p w:rsidR="00F87D04" w:rsidRPr="00E52B9C" w:rsidRDefault="00D508E1"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w:t>
      </w:r>
      <w:r w:rsidR="00F87D04" w:rsidRPr="00E52B9C">
        <w:rPr>
          <w:rFonts w:ascii="Times New Roman" w:eastAsia="Times New Roman" w:hAnsi="Times New Roman" w:cs="Times New Roman"/>
          <w:color w:val="000000"/>
          <w:sz w:val="24"/>
          <w:szCs w:val="24"/>
          <w:u w:val="single"/>
        </w:rPr>
        <w:t xml:space="preserve">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LLS (1st month) weighted average price from Argus Media minus the NFX WTI 1st Line Financial Futures (RTIQ) first nearby contract month settlement price for each business day that both are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D508E1"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w:t>
      </w:r>
      <w:r w:rsidR="00D508E1" w:rsidRPr="00E52B9C">
        <w:rPr>
          <w:rFonts w:ascii="Times New Roman" w:eastAsia="Times New Roman" w:hAnsi="Times New Roman" w:cs="Times New Roman"/>
          <w:color w:val="000000"/>
          <w:sz w:val="24"/>
          <w:szCs w:val="24"/>
          <w:u w:val="single"/>
        </w:rPr>
        <w:t xml:space="preserve">25 </w:t>
      </w:r>
      <w:r w:rsidRPr="00E52B9C">
        <w:rPr>
          <w:rFonts w:ascii="Times New Roman" w:eastAsia="Times New Roman" w:hAnsi="Times New Roman" w:cs="Times New Roman"/>
          <w:color w:val="000000"/>
          <w:sz w:val="24"/>
          <w:szCs w:val="24"/>
          <w:u w:val="single"/>
        </w:rPr>
        <w:t>above and $0.</w:t>
      </w:r>
      <w:r w:rsidR="00D508E1" w:rsidRPr="00E52B9C">
        <w:rPr>
          <w:rFonts w:ascii="Times New Roman" w:eastAsia="Times New Roman" w:hAnsi="Times New Roman" w:cs="Times New Roman"/>
          <w:color w:val="000000"/>
          <w:sz w:val="24"/>
          <w:szCs w:val="24"/>
          <w:u w:val="single"/>
        </w:rPr>
        <w:t xml:space="preserve">25 </w:t>
      </w:r>
      <w:r w:rsidRPr="00E52B9C">
        <w:rPr>
          <w:rFonts w:ascii="Times New Roman" w:eastAsia="Times New Roman" w:hAnsi="Times New Roman" w:cs="Times New Roman"/>
          <w:color w:val="000000"/>
          <w:sz w:val="24"/>
          <w:szCs w:val="24"/>
          <w:u w:val="single"/>
        </w:rPr>
        <w:t>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121</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121</w:t>
      </w:r>
      <w:r w:rsidRPr="00E52B9C">
        <w:rPr>
          <w:rFonts w:ascii="Times New Roman" w:eastAsia="Times New Roman" w:hAnsi="Times New Roman" w:cs="Times New Roman"/>
          <w:b/>
          <w:bCs/>
          <w:color w:val="000000"/>
          <w:sz w:val="24"/>
          <w:szCs w:val="24"/>
          <w:u w:val="single"/>
        </w:rPr>
        <w:t>.11 Disclaimer</w:t>
      </w:r>
    </w:p>
    <w:p w:rsidR="00D508E1" w:rsidRPr="00E52B9C" w:rsidRDefault="00D508E1"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LLS Weighted Average Month 1 - Houston Close Index are trademarks and are used under license from Argus Media Limited.  All copyrights and database rights in the LLS Weighted Average Month 1 - Houston Close Index belong exclusively to the Argus Media group and are used herein under license.  Argus takes no position on the purchase or sale of NFX products which reference Argus or the LLS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122.</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LLS (Argus) Financial Futures (LLFQ)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.04 Last Trading Day</w:t>
      </w:r>
    </w:p>
    <w:p w:rsidR="00076656" w:rsidRDefault="00D508E1"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076656" w:rsidRDefault="00076656"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LLS (1st month) weighted average price from Argus Media for each business day that it is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 xml:space="preserve">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w:t>
      </w:r>
      <w:r w:rsidRPr="00E52B9C">
        <w:rPr>
          <w:rFonts w:ascii="Times New Roman" w:eastAsia="Times New Roman" w:hAnsi="Times New Roman" w:cs="Times New Roman"/>
          <w:color w:val="000000"/>
          <w:sz w:val="24"/>
          <w:szCs w:val="24"/>
          <w:u w:val="single"/>
        </w:rPr>
        <w:lastRenderedPageBreak/>
        <w:t>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D609F3"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122</w:t>
      </w:r>
      <w:r w:rsidRPr="00E52B9C">
        <w:rPr>
          <w:rFonts w:ascii="Times New Roman" w:eastAsia="Times New Roman" w:hAnsi="Times New Roman" w:cs="Times New Roman"/>
          <w:b/>
          <w:bCs/>
          <w:color w:val="000000"/>
          <w:sz w:val="24"/>
          <w:szCs w:val="24"/>
          <w:u w:val="single"/>
        </w:rPr>
        <w:t>.11 Disclaimer</w:t>
      </w:r>
    </w:p>
    <w:p w:rsidR="00D609F3" w:rsidRPr="00E52B9C" w:rsidRDefault="00D609F3"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LLS Weighted Average Month 1 - Houston Close Index are trademarks and are used under license from Argus Media Limited.  All copyrights and database rights in the LLS Weighted Average Month 1 - Houston Close Index belong exclusively to the Argus Media group and are used herein under license.  Argus takes no position on the purchase or sale of NFX products which reference Argus or the LLS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123.</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Mars (Argus) Trade Month Basis Futures (MARQ)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123</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Mars (1st month) differential weighted average (Diff wtd avg) price from Argus Media, which is based on the weighted average floating price of Mars minus the NFX Argus WTI Trade Month Futures (VSAQ) price,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D609F3"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D609F3"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D609F3"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123</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123</w:t>
      </w:r>
      <w:r w:rsidRPr="00E52B9C">
        <w:rPr>
          <w:rFonts w:ascii="Times New Roman" w:eastAsia="Times New Roman" w:hAnsi="Times New Roman" w:cs="Times New Roman"/>
          <w:b/>
          <w:bCs/>
          <w:color w:val="000000"/>
          <w:sz w:val="24"/>
          <w:szCs w:val="24"/>
          <w:u w:val="single"/>
        </w:rPr>
        <w:t>.11 Disclaimer</w:t>
      </w:r>
    </w:p>
    <w:p w:rsidR="00D609F3" w:rsidRPr="00E52B9C" w:rsidRDefault="00D609F3"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Mars Weighted Average Month 1 - Houston Close Diff Index are trademarks and are used under license from Argus Media Limited.  All copyrights and database rights in the Mars Weighted Average Month 1 - Houston Close Diff Index belong exclusively to the Argus Media group and are used herein under license.  Argus takes no position on the purchase or sale of NFX products which reference Argus or the Mars Weighted Average Month 1 - Houston Close Diff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124.</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Mars (Argus) Trade Month Futures (MOAQ)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 xml:space="preserve">Pursuant to Chapter V, Section III, the final settlement price shall be equal to the arithmetic average of the Mars (1st month) weighted average (wtd avg) outright price from Argus Media for each business day that it is determined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w:t>
      </w:r>
      <w:r w:rsidRPr="00E52B9C">
        <w:rPr>
          <w:rFonts w:ascii="Times New Roman" w:hAnsi="Times New Roman" w:cs="Times New Roman"/>
          <w:noProof/>
          <w:color w:val="000000"/>
          <w:sz w:val="24"/>
          <w:szCs w:val="24"/>
          <w:u w:val="single"/>
        </w:rPr>
        <w:lastRenderedPageBreak/>
        <w:t>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10, block trades shall be permitted with a minimum quantity threshold of 10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124</w:t>
      </w:r>
      <w:r w:rsidRPr="00E52B9C">
        <w:rPr>
          <w:rFonts w:ascii="Times New Roman" w:eastAsia="Times New Roman" w:hAnsi="Times New Roman" w:cs="Times New Roman"/>
          <w:b/>
          <w:bCs/>
          <w:color w:val="000000"/>
          <w:sz w:val="24"/>
          <w:szCs w:val="24"/>
          <w:u w:val="single"/>
        </w:rPr>
        <w:t>.11 Disclaimer</w:t>
      </w:r>
    </w:p>
    <w:p w:rsidR="00D609F3" w:rsidRPr="00E52B9C" w:rsidRDefault="00D609F3"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Mars Weighted Average Month 1 - Houston Close Index are trademarks and are used under license from Argus Media Limited.  All copyrights and database rights in the Mars Weighted Average Month 1 - Houston Close Index belong exclusively to the Argus Media group and are used herein under license.  Argus takes no position on the purchase or sale of NFX products which reference Argus or the Mars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125.</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Mars (Argus) Basis Futures (MARC)</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125</w:t>
      </w:r>
      <w:r w:rsidRPr="00E52B9C">
        <w:rPr>
          <w:rFonts w:ascii="Times New Roman" w:eastAsia="Times New Roman" w:hAnsi="Times New Roman" w:cs="Times New Roman"/>
          <w:b/>
          <w:bCs/>
          <w:color w:val="000000"/>
          <w:sz w:val="24"/>
          <w:szCs w:val="24"/>
          <w:u w:val="single"/>
        </w:rPr>
        <w:t>.04 Last Trading Day</w:t>
      </w:r>
    </w:p>
    <w:p w:rsidR="00F363A9" w:rsidRDefault="002121CA"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F363A9" w:rsidRDefault="00F363A9"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Mars (1st month) weighted average price from Argus Media minus the NFX WTI 1st Line Financial Futures (RTIQ) first nearby contract month settlement price for each business day that both are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2121CA"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2121CA"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2121CA"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125</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125</w:t>
      </w:r>
      <w:r w:rsidRPr="00E52B9C">
        <w:rPr>
          <w:rFonts w:ascii="Times New Roman" w:eastAsia="Times New Roman" w:hAnsi="Times New Roman" w:cs="Times New Roman"/>
          <w:b/>
          <w:bCs/>
          <w:color w:val="000000"/>
          <w:sz w:val="24"/>
          <w:szCs w:val="24"/>
          <w:u w:val="single"/>
        </w:rPr>
        <w:t>.11 Disclaimer</w:t>
      </w:r>
    </w:p>
    <w:p w:rsidR="002121CA" w:rsidRPr="00E52B9C" w:rsidRDefault="002121CA"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Mars Weighted Average Month 1 - Houston Close Index are trademarks and are used under license from Argus Media Limited.  All copyrights and database rights in the Mars Weighted Average Month 1 - Houston Close Index belong exclusively to the Argus Media group and are used herein under license.  Argus takes no position on the purchase or sale of NFX products which reference Argus or the Mars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126.</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Mars (Argus) Financial Futures (MXAQ)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.04 Last Trading Day</w:t>
      </w:r>
    </w:p>
    <w:p w:rsidR="00F363A9" w:rsidRDefault="00B54F39"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F363A9" w:rsidRDefault="00F363A9"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Mars (1st month) weighted average price from Argus Media for each business day that it is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 xml:space="preserve">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w:t>
      </w:r>
      <w:r w:rsidRPr="00E52B9C">
        <w:rPr>
          <w:rFonts w:ascii="Times New Roman" w:eastAsia="Times New Roman" w:hAnsi="Times New Roman" w:cs="Times New Roman"/>
          <w:color w:val="000000"/>
          <w:sz w:val="24"/>
          <w:szCs w:val="24"/>
          <w:u w:val="single"/>
        </w:rPr>
        <w:lastRenderedPageBreak/>
        <w:t>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10, block trades shall be permitted with a minimum quantity threshold of 10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126</w:t>
      </w:r>
      <w:r w:rsidRPr="00E52B9C">
        <w:rPr>
          <w:rFonts w:ascii="Times New Roman" w:eastAsia="Times New Roman" w:hAnsi="Times New Roman" w:cs="Times New Roman"/>
          <w:b/>
          <w:bCs/>
          <w:color w:val="000000"/>
          <w:sz w:val="24"/>
          <w:szCs w:val="24"/>
          <w:u w:val="single"/>
        </w:rPr>
        <w:t>.11 Disclaimer</w:t>
      </w:r>
    </w:p>
    <w:p w:rsidR="00B54F39" w:rsidRPr="00E52B9C" w:rsidRDefault="00B54F39"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Mars Weighted Average Month 1 - Houston Close Index are trademarks and are used under license from Argus Media Limited.  All copyrights and database rights in the Mars Weighted Average Month 1 - Houston Close Index belong exclusively to the Argus Media group and are used herein under license.  Argus takes no position on the purchase or sale of NFX products which reference Argus or the Mars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127.</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Houston (Argus) Trade Month Basis Futures (MEHQ)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127</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WTI Houston (1st month) differential weighted average (Diff weighted average) index price from Argus Media, which is based on the weighted average index price of WTI Houston minus the NFX Argus WTI Trade Month Futures (VSAQ) price,</w:t>
      </w:r>
      <w:r w:rsidR="00B54F39" w:rsidRPr="00E52B9C">
        <w:rPr>
          <w:rFonts w:ascii="Times New Roman" w:hAnsi="Times New Roman" w:cs="Times New Roman"/>
          <w:noProof/>
          <w:color w:val="000000"/>
          <w:sz w:val="24"/>
          <w:szCs w:val="24"/>
          <w:u w:val="single"/>
        </w:rPr>
        <w:t xml:space="preserve"> </w:t>
      </w:r>
      <w:r w:rsidRPr="00E52B9C">
        <w:rPr>
          <w:rFonts w:ascii="Times New Roman" w:hAnsi="Times New Roman" w:cs="Times New Roman"/>
          <w:noProof/>
          <w:color w:val="000000"/>
          <w:sz w:val="24"/>
          <w:szCs w:val="24"/>
          <w:u w:val="single"/>
        </w:rPr>
        <w:t>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B54F39"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B54F39"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B54F39"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127</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127</w:t>
      </w:r>
      <w:r w:rsidRPr="00E52B9C">
        <w:rPr>
          <w:rFonts w:ascii="Times New Roman" w:eastAsia="Times New Roman" w:hAnsi="Times New Roman" w:cs="Times New Roman"/>
          <w:b/>
          <w:bCs/>
          <w:color w:val="000000"/>
          <w:sz w:val="24"/>
          <w:szCs w:val="24"/>
          <w:u w:val="single"/>
        </w:rPr>
        <w:t>.11 Disclaimer</w:t>
      </w:r>
    </w:p>
    <w:p w:rsidR="00B54F39" w:rsidRPr="00E52B9C" w:rsidRDefault="00B54F39"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Houston Weighted Average Month 1 - Houston Close Diff Index are trademarks and are used under license from Argus Media Limited.  All copyrights and database rights in the WTI Houston Weighted Average Month 1 - Houston Close Diff Index belong exclusively to the Argus Media group and are used herein under license.  Argus takes no position on the purchase or sale of NFX products which reference Argus or the WTI Houston Weighted Average Month 1 - Houston Close Diff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128.</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Houston (Argus) Trade Month Futures (HTAQ)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 xml:space="preserve">Pursuant to Chapter V, Section III, the final settlement price shall be the final settlement price shall be equal to the arithmetic average of the WTI Houston (1st month) weighted average (wtd avg) outright price from Argus Media for each business day that it is determined for the Trade month period beginning with the first business day after the 25th calendar day two months prior to the contract month through the last business day that falls on or before the 25th calendar day of the month prior to the contract month. If </w:t>
      </w:r>
      <w:r w:rsidRPr="00E52B9C">
        <w:rPr>
          <w:rFonts w:ascii="Times New Roman" w:hAnsi="Times New Roman" w:cs="Times New Roman"/>
          <w:noProof/>
          <w:color w:val="000000"/>
          <w:sz w:val="24"/>
          <w:szCs w:val="24"/>
          <w:u w:val="single"/>
        </w:rPr>
        <w:lastRenderedPageBreak/>
        <w:t>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EF3C21"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128</w:t>
      </w:r>
      <w:r w:rsidRPr="00E52B9C">
        <w:rPr>
          <w:rFonts w:ascii="Times New Roman" w:eastAsia="Times New Roman" w:hAnsi="Times New Roman" w:cs="Times New Roman"/>
          <w:b/>
          <w:bCs/>
          <w:color w:val="000000"/>
          <w:sz w:val="24"/>
          <w:szCs w:val="24"/>
          <w:u w:val="single"/>
        </w:rPr>
        <w:t>.11 Disclaimer</w:t>
      </w:r>
    </w:p>
    <w:p w:rsidR="00EF3C21" w:rsidRPr="00E52B9C" w:rsidRDefault="00EF3C21"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Houston Weighted Average Month 1 - Houston Close Index are trademarks and are used under license from Argus Media Limited.  All copyrights and database rights in the WTI Houston Weighted Average Month 1 - Houston Close Index belong exclusively to the Argus Media group and are used herein under license.  Argus takes no position on the purchase or sale of NFX products which reference Argus or the WTI Houston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129.</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Houston (Argus) Basis Futures (MEHC)</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129</w:t>
      </w:r>
      <w:r w:rsidRPr="00E52B9C">
        <w:rPr>
          <w:rFonts w:ascii="Times New Roman" w:eastAsia="Times New Roman" w:hAnsi="Times New Roman" w:cs="Times New Roman"/>
          <w:b/>
          <w:bCs/>
          <w:color w:val="000000"/>
          <w:sz w:val="24"/>
          <w:szCs w:val="24"/>
          <w:u w:val="single"/>
        </w:rPr>
        <w:t>.04 Last Trading Day</w:t>
      </w:r>
    </w:p>
    <w:p w:rsidR="00492D6F" w:rsidRDefault="00EF3C21"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492D6F" w:rsidRDefault="00492D6F"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differential of the WTI Houston (1st month) weighted average price from Argus Media minus the NFX WTI 1st Line Financial Futures (RTIQ) first nearby contract month settlement price for each business day that both are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EF3C21"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129</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129</w:t>
      </w:r>
      <w:r w:rsidRPr="00E52B9C">
        <w:rPr>
          <w:rFonts w:ascii="Times New Roman" w:eastAsia="Times New Roman" w:hAnsi="Times New Roman" w:cs="Times New Roman"/>
          <w:b/>
          <w:bCs/>
          <w:color w:val="000000"/>
          <w:sz w:val="24"/>
          <w:szCs w:val="24"/>
          <w:u w:val="single"/>
        </w:rPr>
        <w:t>.11 Disclaimer</w:t>
      </w:r>
    </w:p>
    <w:p w:rsidR="00EF3C21" w:rsidRPr="00E52B9C" w:rsidRDefault="00EF3C21"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Houston Weighted Average Month 1 - Houston Close Index are trademarks and are used under license from Argus Media Limited.  All copyrights and database rights in the WTI Houston Weighted Average Month 1 - Houston Close Index belong exclusively to the Argus Media group and are used herein under license.  Argus takes no position on the purchase or sale of NFX products which reference Argus or the WTI Houston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130.</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WTI Houston (Argus) Financial Futures (HIAQ)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.04 Last Trading Day</w:t>
      </w:r>
    </w:p>
    <w:p w:rsidR="00492D6F" w:rsidRDefault="00EF3C21"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492D6F" w:rsidRDefault="00492D6F"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WTI Houston (1st month) weighted average price from Argus Media for each business day that it is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 xml:space="preserve">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w:t>
      </w:r>
      <w:r w:rsidRPr="00E52B9C">
        <w:rPr>
          <w:rFonts w:ascii="Times New Roman" w:eastAsia="Times New Roman" w:hAnsi="Times New Roman" w:cs="Times New Roman"/>
          <w:color w:val="000000"/>
          <w:sz w:val="24"/>
          <w:szCs w:val="24"/>
          <w:u w:val="single"/>
        </w:rPr>
        <w:lastRenderedPageBreak/>
        <w:t>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EF3C21" w:rsidRPr="00E52B9C">
        <w:rPr>
          <w:rFonts w:ascii="Times New Roman" w:eastAsia="Times New Roman" w:hAnsi="Times New Roman" w:cs="Times New Roman"/>
          <w:color w:val="000000"/>
          <w:sz w:val="24"/>
          <w:szCs w:val="24"/>
          <w:u w:val="single"/>
        </w:rPr>
        <w:t>5</w:t>
      </w:r>
      <w:r w:rsidRPr="00E52B9C">
        <w:rPr>
          <w:rFonts w:ascii="Times New Roman" w:eastAsia="Times New Roman" w:hAnsi="Times New Roman" w:cs="Times New Roman"/>
          <w:color w:val="000000"/>
          <w:sz w:val="24"/>
          <w:szCs w:val="24"/>
          <w:u w:val="single"/>
        </w:rPr>
        <w:t xml:space="preserve">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130</w:t>
      </w:r>
      <w:r w:rsidRPr="00E52B9C">
        <w:rPr>
          <w:rFonts w:ascii="Times New Roman" w:eastAsia="Times New Roman" w:hAnsi="Times New Roman" w:cs="Times New Roman"/>
          <w:b/>
          <w:bCs/>
          <w:color w:val="000000"/>
          <w:sz w:val="24"/>
          <w:szCs w:val="24"/>
          <w:u w:val="single"/>
        </w:rPr>
        <w:t>.11 Disclaimer</w:t>
      </w:r>
    </w:p>
    <w:p w:rsidR="00EF3C21" w:rsidRPr="00E52B9C" w:rsidRDefault="00EF3C21"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WTI Houston Weighted Average Month 1 - Houston Close Index are trademarks and are used under license from Argus Media Limited.  All copyrights and database rights in the WTI Houston Weighted Average Month 1 - Houston Close Index belong exclusively to the Argus Media group and are used herein under license.  Argus takes no position on the purchase or sale of NFX products which reference Argus or the WTI Houston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131.</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WTS (Argus) Trade Month Basis Futures (FHAQ)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131</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WTS (1st month) differential weighted average (Diff wtd avg) price from Argus Media, which is based on the weighted average floating price of WTS minus the NFX Argus WTI Trade Month Futures (VSAQ) price,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EF3C21"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above and $</w:t>
      </w:r>
      <w:r w:rsidR="00EF3C21" w:rsidRPr="00E52B9C">
        <w:rPr>
          <w:rFonts w:ascii="Times New Roman" w:eastAsia="Times New Roman" w:hAnsi="Times New Roman" w:cs="Times New Roman"/>
          <w:color w:val="000000"/>
          <w:sz w:val="24"/>
          <w:szCs w:val="24"/>
          <w:u w:val="single"/>
        </w:rPr>
        <w:t>1.00</w:t>
      </w:r>
      <w:r w:rsidRPr="00E52B9C">
        <w:rPr>
          <w:rFonts w:ascii="Times New Roman" w:eastAsia="Times New Roman" w:hAnsi="Times New Roman" w:cs="Times New Roman"/>
          <w:color w:val="000000"/>
          <w:sz w:val="24"/>
          <w:szCs w:val="24"/>
          <w:u w:val="single"/>
        </w:rPr>
        <w:t xml:space="preserve">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131</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131</w:t>
      </w:r>
      <w:r w:rsidRPr="00E52B9C">
        <w:rPr>
          <w:rFonts w:ascii="Times New Roman" w:eastAsia="Times New Roman" w:hAnsi="Times New Roman" w:cs="Times New Roman"/>
          <w:b/>
          <w:bCs/>
          <w:color w:val="000000"/>
          <w:sz w:val="24"/>
          <w:szCs w:val="24"/>
          <w:u w:val="single"/>
        </w:rPr>
        <w:t>.11 Disclaimer</w:t>
      </w:r>
    </w:p>
    <w:p w:rsidR="00EF3C21" w:rsidRPr="00E52B9C" w:rsidRDefault="00EF3C21"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WTS Weighted Average Month 1 - Houston Close Diff Index are trademarks and are used under license from Argus Media Limited.  All copyrights and database rights in the WTS Weighted Average Month 1 - Houston Close Diff Index belong exclusively to the Argus Media group and are used herein under license.  Argus takes no position on the purchase or sale of NFX products which reference Argus or the WTS Weighted Average Month 1 - Houston Close Diff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132.</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WTS (Argus) Trade Month Futures (AYAQ)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.04 Last Trading Day</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that falls on or before the 25th calendar day of the month prior to the contract month. If the 25th calendar day is weekend or holiday, trading shall cease on the first business day prior to the 25th calendar day. Trading ceases at 6:00 PM EPT on the last trading day.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 xml:space="preserve">Pursuant to Chapter V, Section III, the final settlement price shall be equal to the arithmetic average of the WTS (1st month) weighted average (wtd avg) outright price from Argus Media for each business day that it is determined for the Trade month period beginning with the first business day after the 25th calendar day two months prior to the contract month through the last business day that falls on or before the 25th calendar day of the month prior to the contract month. If the 25th calendar day is a weekend or </w:t>
      </w:r>
      <w:r w:rsidRPr="00E52B9C">
        <w:rPr>
          <w:rFonts w:ascii="Times New Roman" w:hAnsi="Times New Roman" w:cs="Times New Roman"/>
          <w:noProof/>
          <w:color w:val="000000"/>
          <w:sz w:val="24"/>
          <w:szCs w:val="24"/>
          <w:u w:val="single"/>
        </w:rPr>
        <w:lastRenderedPageBreak/>
        <w:t>holiday, the Trade month period shall end on the first business day prior to the 25th calendar day.</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10, block trades shall be permitted with a minimum quantity threshold of 10 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$0.01 above and $0.01 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132</w:t>
      </w:r>
      <w:r w:rsidRPr="00E52B9C">
        <w:rPr>
          <w:rFonts w:ascii="Times New Roman" w:eastAsia="Times New Roman" w:hAnsi="Times New Roman" w:cs="Times New Roman"/>
          <w:b/>
          <w:bCs/>
          <w:color w:val="000000"/>
          <w:sz w:val="24"/>
          <w:szCs w:val="24"/>
          <w:u w:val="single"/>
        </w:rPr>
        <w:t>.11 Disclaimer</w:t>
      </w:r>
    </w:p>
    <w:p w:rsidR="006C5BBF" w:rsidRPr="00E52B9C" w:rsidRDefault="006C5BBF"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WTS Weighted Average Month 1 - Houston Close Index are trademarks and are used under license from Argus Media Limited.  All copyrights and database rights in the WTS Weighted Average Month 1 - Houston Close Index belong exclusively to the Argus Media group and are used herein under license.  Argus takes no position on the purchase or sale of NFX products which reference Argus or the WTS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133.</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WTS (Argus) Basis Futures (WTAQ)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133</w:t>
      </w:r>
      <w:r w:rsidRPr="00E52B9C">
        <w:rPr>
          <w:rFonts w:ascii="Times New Roman" w:eastAsia="Times New Roman" w:hAnsi="Times New Roman" w:cs="Times New Roman"/>
          <w:b/>
          <w:bCs/>
          <w:color w:val="000000"/>
          <w:sz w:val="24"/>
          <w:szCs w:val="24"/>
          <w:u w:val="single"/>
        </w:rPr>
        <w:t>.04 Last Trading Day</w:t>
      </w:r>
    </w:p>
    <w:p w:rsidR="000A087E" w:rsidRDefault="006C5BBF"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0A087E" w:rsidRDefault="000A087E"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WTS (1st month) differential weighted average (Diff wtd avg) price from Argus Media, which is based on the weighted average floating price of WTS minus the NFX WTI 1st Line Financial Futures (RTIQ) first nearby contract month settlement price for each business day that both are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6C5BBF"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w:t>
      </w:r>
      <w:r w:rsidR="006C5BBF"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above and $0.</w:t>
      </w:r>
      <w:r w:rsidR="006C5BBF"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133</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lastRenderedPageBreak/>
        <w:t>133</w:t>
      </w:r>
      <w:r w:rsidRPr="00E52B9C">
        <w:rPr>
          <w:rFonts w:ascii="Times New Roman" w:eastAsia="Times New Roman" w:hAnsi="Times New Roman" w:cs="Times New Roman"/>
          <w:b/>
          <w:bCs/>
          <w:color w:val="000000"/>
          <w:sz w:val="24"/>
          <w:szCs w:val="24"/>
          <w:u w:val="single"/>
        </w:rPr>
        <w:t>.11 Disclaimer</w:t>
      </w:r>
    </w:p>
    <w:p w:rsidR="006C5BBF" w:rsidRPr="00E52B9C" w:rsidRDefault="006C5BBF" w:rsidP="00954900">
      <w:pPr>
        <w:keepNext/>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WTS Weighted Average Month 1 - Houston Close Index are trademarks and are used under license from Argus Media Limited.  All copyrights and database rights in the WTS Weighted Average Month 1 - Houston Close Index belong exclusively to the Argus Media group and are used herein under license.  Argus takes no position on the purchase or sale of NFX products which reference Argus or the WTS Weighted Average Month 1 - Houston Close Index and excludes all liability in relation thereto.</w:t>
      </w:r>
    </w:p>
    <w:p w:rsidR="00F87D04" w:rsidRPr="00E52B9C" w:rsidRDefault="00F87D04" w:rsidP="00954900">
      <w:pPr>
        <w:keepNext/>
        <w:spacing w:after="240" w:line="240" w:lineRule="auto"/>
        <w:rPr>
          <w:rFonts w:ascii="Times New Roman" w:hAnsi="Times New Roman" w:cs="Times New Roman"/>
          <w:b/>
          <w:noProof/>
          <w:color w:val="000000"/>
          <w:sz w:val="24"/>
          <w:szCs w:val="24"/>
        </w:rPr>
      </w:pPr>
      <w:r w:rsidRPr="00E52B9C">
        <w:rPr>
          <w:rFonts w:ascii="Times New Roman" w:hAnsi="Times New Roman" w:cs="Times New Roman"/>
          <w:b/>
          <w:color w:val="000000"/>
          <w:sz w:val="24"/>
          <w:szCs w:val="24"/>
          <w:u w:val="single"/>
        </w:rPr>
        <w:t xml:space="preserve">Chapter </w:t>
      </w:r>
      <w:r w:rsidRPr="00E52B9C">
        <w:rPr>
          <w:rFonts w:ascii="Times New Roman" w:hAnsi="Times New Roman" w:cs="Times New Roman"/>
          <w:b/>
          <w:noProof/>
          <w:color w:val="000000"/>
          <w:sz w:val="24"/>
          <w:szCs w:val="24"/>
          <w:u w:val="single"/>
        </w:rPr>
        <w:t>134.</w:t>
      </w:r>
      <w:r w:rsidRPr="00E52B9C">
        <w:rPr>
          <w:rFonts w:ascii="Times New Roman" w:hAnsi="Times New Roman" w:cs="Times New Roman"/>
          <w:b/>
          <w:color w:val="000000"/>
          <w:sz w:val="24"/>
          <w:szCs w:val="24"/>
          <w:u w:val="single"/>
        </w:rPr>
        <w:t xml:space="preserve"> </w:t>
      </w:r>
      <w:r w:rsidRPr="00E52B9C">
        <w:rPr>
          <w:rFonts w:ascii="Times New Roman" w:hAnsi="Times New Roman" w:cs="Times New Roman"/>
          <w:b/>
          <w:noProof/>
          <w:sz w:val="24"/>
          <w:szCs w:val="24"/>
          <w:u w:val="single"/>
        </w:rPr>
        <w:t>NFX WTS (Argus) Financial Futures (WTSQ)</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.01 Unit of Trading</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unit of trading for one contract is </w:t>
      </w:r>
      <w:r w:rsidR="008B0CC1" w:rsidRPr="00E52B9C">
        <w:rPr>
          <w:rFonts w:ascii="Times New Roman" w:hAnsi="Times New Roman" w:cs="Times New Roman"/>
          <w:noProof/>
          <w:sz w:val="24"/>
          <w:szCs w:val="24"/>
          <w:u w:val="single"/>
        </w:rPr>
        <w:t>1,000 barrels</w:t>
      </w:r>
      <w:r w:rsidRPr="00E52B9C">
        <w:rPr>
          <w:rFonts w:ascii="Times New Roman" w:eastAsia="Times New Roman" w:hAnsi="Times New Roman" w:cs="Times New Roman"/>
          <w:color w:val="000000"/>
          <w:sz w:val="24"/>
          <w:szCs w:val="24"/>
          <w:u w:val="single"/>
        </w:rPr>
        <w: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.02 Contract Months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The Exchange may list for trading up to </w:t>
      </w:r>
      <w:r w:rsidRPr="00E52B9C">
        <w:rPr>
          <w:rFonts w:ascii="Times New Roman" w:eastAsia="Times New Roman" w:hAnsi="Times New Roman" w:cs="Times New Roman"/>
          <w:noProof/>
          <w:color w:val="000000"/>
          <w:sz w:val="24"/>
          <w:szCs w:val="24"/>
          <w:u w:val="single"/>
        </w:rPr>
        <w:t>120</w:t>
      </w:r>
      <w:r w:rsidRPr="00E52B9C">
        <w:rPr>
          <w:rFonts w:ascii="Times New Roman" w:eastAsia="Times New Roman" w:hAnsi="Times New Roman" w:cs="Times New Roman"/>
          <w:color w:val="000000"/>
          <w:sz w:val="24"/>
          <w:szCs w:val="24"/>
          <w:u w:val="single"/>
        </w:rPr>
        <w:t xml:space="preserve"> consecutive or non-consecutive monthly contracts, beginning with the nearest available contract month.</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.03 Prices and Minimum Increments</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Prices are quoted in U.S. dollars and cents per barrel. The minimum trading increment is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0.01</w:t>
      </w:r>
      <w:r w:rsidRPr="00E52B9C">
        <w:rPr>
          <w:rFonts w:ascii="Times New Roman" w:eastAsia="Times New Roman" w:hAnsi="Times New Roman" w:cs="Times New Roman"/>
          <w:color w:val="000000"/>
          <w:sz w:val="24"/>
          <w:szCs w:val="24"/>
          <w:u w:val="single"/>
        </w:rPr>
        <w:t xml:space="preserve"> </w:t>
      </w:r>
      <w:r w:rsidR="008B0CC1" w:rsidRPr="00E52B9C">
        <w:rPr>
          <w:rFonts w:ascii="Times New Roman" w:eastAsia="Times New Roman" w:hAnsi="Times New Roman" w:cs="Times New Roman"/>
          <w:color w:val="000000"/>
          <w:sz w:val="24"/>
          <w:szCs w:val="24"/>
          <w:u w:val="single"/>
        </w:rPr>
        <w:t>per barrel</w:t>
      </w:r>
      <w:r w:rsidRPr="00E52B9C">
        <w:rPr>
          <w:rFonts w:ascii="Times New Roman" w:eastAsia="Times New Roman" w:hAnsi="Times New Roman" w:cs="Times New Roman"/>
          <w:color w:val="000000"/>
          <w:sz w:val="24"/>
          <w:szCs w:val="24"/>
          <w:u w:val="single"/>
        </w:rPr>
        <w:t xml:space="preserve"> which is equal to </w:t>
      </w:r>
      <w:r w:rsidR="008B0CC1" w:rsidRPr="00E52B9C">
        <w:rPr>
          <w:rFonts w:ascii="Times New Roman" w:eastAsia="Times New Roman" w:hAnsi="Times New Roman" w:cs="Times New Roman"/>
          <w:noProof/>
          <w:color w:val="000000"/>
          <w:sz w:val="24"/>
          <w:szCs w:val="24"/>
          <w:u w:val="single"/>
        </w:rPr>
        <w:t>$</w:t>
      </w:r>
      <w:r w:rsidRPr="00E52B9C">
        <w:rPr>
          <w:rFonts w:ascii="Times New Roman" w:eastAsia="Times New Roman" w:hAnsi="Times New Roman" w:cs="Times New Roman"/>
          <w:noProof/>
          <w:color w:val="000000"/>
          <w:sz w:val="24"/>
          <w:szCs w:val="24"/>
          <w:u w:val="single"/>
        </w:rPr>
        <w:t>10.00</w:t>
      </w:r>
      <w:r w:rsidRPr="00E52B9C">
        <w:rPr>
          <w:rFonts w:ascii="Times New Roman" w:eastAsia="Times New Roman" w:hAnsi="Times New Roman" w:cs="Times New Roman"/>
          <w:color w:val="000000"/>
          <w:sz w:val="24"/>
          <w:szCs w:val="24"/>
          <w:u w:val="single"/>
        </w:rPr>
        <w:t xml:space="preserve"> per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.04 Last Trading Day</w:t>
      </w:r>
    </w:p>
    <w:p w:rsidR="00DC3C45" w:rsidRDefault="006C5BBF" w:rsidP="000E3E8E">
      <w:pPr>
        <w:keepNext/>
        <w:spacing w:after="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Trading for a particular contract month terminates on the last business day of the contract month. Trading ceases at 6:00 PM EPT on the last trading day.</w:t>
      </w:r>
    </w:p>
    <w:p w:rsidR="00DC3C45" w:rsidRDefault="00DC3C45" w:rsidP="000E3E8E">
      <w:pPr>
        <w:keepNext/>
        <w:spacing w:after="0" w:line="240" w:lineRule="auto"/>
        <w:rPr>
          <w:rFonts w:ascii="Times New Roman" w:eastAsia="Times New Roman" w:hAnsi="Times New Roman" w:cs="Times New Roman"/>
          <w:color w:val="000000"/>
          <w:sz w:val="24"/>
          <w:szCs w:val="24"/>
          <w:u w:val="single"/>
        </w:rPr>
      </w:pP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.05 Final Settlement Date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The final settlement date for any contract month shall be the second business day on which the Clearing Corporation is open for settlement following the last trading day for that contract month. On the final settlement date the Clearing Corporation shall effect the final variation payment to be made on each contract.</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.06 Final and Daily Settlement and Settlement Prices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(a)</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Final settlement for contracts held to their maturity date is by cash settlement in U.S. dollars.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(b)</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Pursuant to Chapter V, Section III, the daily settlement prices will be determined by NFX using price data from a number of sources including, spot, forward and derivative markets for both physical and financial products.</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(c)</w:t>
      </w:r>
      <w:r w:rsidRPr="00E52B9C">
        <w:rPr>
          <w:rFonts w:ascii="Times New Roman" w:hAnsi="Times New Roman" w:cs="Times New Roman"/>
          <w:color w:val="000000"/>
          <w:sz w:val="24"/>
          <w:szCs w:val="24"/>
          <w:u w:val="single"/>
        </w:rPr>
        <w:t xml:space="preserve"> </w:t>
      </w:r>
      <w:r w:rsidRPr="00E52B9C">
        <w:rPr>
          <w:rFonts w:ascii="Times New Roman" w:hAnsi="Times New Roman" w:cs="Times New Roman"/>
          <w:noProof/>
          <w:color w:val="000000"/>
          <w:sz w:val="24"/>
          <w:szCs w:val="24"/>
          <w:u w:val="single"/>
        </w:rPr>
        <w:t>Pursuant to Chapter V, Section III, the final settlement price shall be equal to the arithmetic average of the WTS (1st month) weighted average price from Argus Media for each business day that it is determined during the contract month.</w:t>
      </w:r>
    </w:p>
    <w:p w:rsidR="00F87D04" w:rsidRPr="00E52B9C" w:rsidRDefault="00F87D04" w:rsidP="000E3E8E">
      <w:pPr>
        <w:spacing w:after="240" w:line="240" w:lineRule="auto"/>
        <w:ind w:left="720"/>
        <w:rPr>
          <w:rFonts w:ascii="Times New Roman" w:eastAsia="Times New Roman" w:hAnsi="Times New Roman" w:cs="Times New Roman"/>
          <w:color w:val="000000"/>
          <w:sz w:val="24"/>
          <w:szCs w:val="24"/>
          <w:u w:val="single"/>
        </w:rPr>
      </w:pPr>
      <w:r w:rsidRPr="00E52B9C">
        <w:rPr>
          <w:rFonts w:ascii="Times New Roman" w:hAnsi="Times New Roman" w:cs="Times New Roman"/>
          <w:b/>
          <w:noProof/>
          <w:sz w:val="24"/>
          <w:szCs w:val="24"/>
          <w:u w:val="single"/>
        </w:rPr>
        <w:t>(d)</w:t>
      </w:r>
      <w:r w:rsidRPr="00E52B9C">
        <w:rPr>
          <w:rFonts w:ascii="Times New Roman" w:hAnsi="Times New Roman" w:cs="Times New Roman"/>
          <w:color w:val="000000"/>
          <w:sz w:val="24"/>
          <w:szCs w:val="24"/>
          <w:u w:val="single"/>
        </w:rPr>
        <w:t xml:space="preserve"> </w:t>
      </w:r>
      <w:r w:rsidRPr="00E52B9C">
        <w:rPr>
          <w:rFonts w:ascii="Times New Roman" w:eastAsia="Times New Roman" w:hAnsi="Times New Roman" w:cs="Times New Roman"/>
          <w:color w:val="000000"/>
          <w:sz w:val="24"/>
          <w:szCs w:val="24"/>
          <w:u w:val="single"/>
        </w:rPr>
        <w:t xml:space="preserve">If the daily settlement price described in (b) above is unavailable the Exchange may in its sole discretion establish a daily settlement price that it deems to be a fair and reasonable reflection of the market. If the final settlement price is not available or the normal settlement procedure cannot be utilized due to a trading disruption or the other </w:t>
      </w:r>
      <w:r w:rsidRPr="00E52B9C">
        <w:rPr>
          <w:rFonts w:ascii="Times New Roman" w:eastAsia="Times New Roman" w:hAnsi="Times New Roman" w:cs="Times New Roman"/>
          <w:color w:val="000000"/>
          <w:sz w:val="24"/>
          <w:szCs w:val="24"/>
          <w:u w:val="single"/>
        </w:rPr>
        <w:lastRenderedPageBreak/>
        <w:t>unusual circumstance, the final settlement price will be determined in accordance with the Rules and By-Laws of the Clearing Corporation.</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.07 Trading Algorithm</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5, the trading system shall execute orders within the trading system pursuant to the price-time priority order execution algorithm.</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.08 Block Trade Minimum Quantity Threshold and Reporting Window</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 xml:space="preserve">Pursuant to Chapter IV, Section 10, block trades shall be permitted with a minimum quantity threshold of </w:t>
      </w:r>
      <w:r w:rsidR="006C5BBF" w:rsidRPr="00E52B9C">
        <w:rPr>
          <w:rFonts w:ascii="Times New Roman" w:eastAsia="Times New Roman" w:hAnsi="Times New Roman" w:cs="Times New Roman"/>
          <w:color w:val="000000"/>
          <w:sz w:val="24"/>
          <w:szCs w:val="24"/>
          <w:u w:val="single"/>
        </w:rPr>
        <w:t xml:space="preserve">5 </w:t>
      </w:r>
      <w:r w:rsidRPr="00E52B9C">
        <w:rPr>
          <w:rFonts w:ascii="Times New Roman" w:eastAsia="Times New Roman" w:hAnsi="Times New Roman" w:cs="Times New Roman"/>
          <w:color w:val="000000"/>
          <w:sz w:val="24"/>
          <w:szCs w:val="24"/>
          <w:u w:val="single"/>
        </w:rPr>
        <w:t>Contracts and the Reporting Window shall be 15 Minutes.</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.09 Order Price Limit Protection</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Pursuant to Chapter IV, Section 8, the Order Price Limits shall be $0.</w:t>
      </w:r>
      <w:r w:rsidR="006C5BBF"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above and $0.</w:t>
      </w:r>
      <w:r w:rsidR="006C5BBF" w:rsidRPr="00E52B9C">
        <w:rPr>
          <w:rFonts w:ascii="Times New Roman" w:eastAsia="Times New Roman" w:hAnsi="Times New Roman" w:cs="Times New Roman"/>
          <w:color w:val="000000"/>
          <w:sz w:val="24"/>
          <w:szCs w:val="24"/>
          <w:u w:val="single"/>
        </w:rPr>
        <w:t xml:space="preserve">75 </w:t>
      </w:r>
      <w:r w:rsidRPr="00E52B9C">
        <w:rPr>
          <w:rFonts w:ascii="Times New Roman" w:eastAsia="Times New Roman" w:hAnsi="Times New Roman" w:cs="Times New Roman"/>
          <w:color w:val="000000"/>
          <w:sz w:val="24"/>
          <w:szCs w:val="24"/>
          <w:u w:val="single"/>
        </w:rPr>
        <w:t>below the Reference Price as defined in Chapter IV, Section 8.</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.10 Non-Reviewable Range</w:t>
      </w:r>
    </w:p>
    <w:p w:rsidR="00F87D04" w:rsidRPr="00E52B9C" w:rsidRDefault="00F87D04" w:rsidP="000E3E8E">
      <w:pPr>
        <w:spacing w:after="240" w:line="240" w:lineRule="auto"/>
        <w:rPr>
          <w:rFonts w:ascii="Times New Roman" w:eastAsia="Times New Roman" w:hAnsi="Times New Roman" w:cs="Times New Roman"/>
          <w:color w:val="000000"/>
          <w:sz w:val="24"/>
          <w:szCs w:val="24"/>
          <w:u w:val="single"/>
        </w:rPr>
      </w:pPr>
      <w:r w:rsidRPr="00E52B9C">
        <w:rPr>
          <w:rFonts w:ascii="Times New Roman" w:eastAsia="Times New Roman" w:hAnsi="Times New Roman" w:cs="Times New Roman"/>
          <w:color w:val="000000"/>
          <w:sz w:val="24"/>
          <w:szCs w:val="24"/>
          <w:u w:val="single"/>
        </w:rPr>
        <w:t>For purposes of Chapter V, Section 5, the non-reviewable range shall be from $1.00 above to $1.00 below the true market price for the Contract as set forth in the Exchange's Error Trade Policy.</w:t>
      </w:r>
    </w:p>
    <w:p w:rsidR="00F87D04" w:rsidRPr="00E52B9C" w:rsidRDefault="00F87D04" w:rsidP="000E3E8E">
      <w:pPr>
        <w:keepNext/>
        <w:spacing w:after="0" w:line="240" w:lineRule="auto"/>
        <w:rPr>
          <w:rFonts w:ascii="Times New Roman" w:eastAsia="Times New Roman" w:hAnsi="Times New Roman" w:cs="Times New Roman"/>
          <w:b/>
          <w:bCs/>
          <w:color w:val="000000"/>
          <w:sz w:val="24"/>
          <w:szCs w:val="24"/>
          <w:u w:val="single"/>
        </w:rPr>
      </w:pPr>
      <w:r w:rsidRPr="00E52B9C">
        <w:rPr>
          <w:rFonts w:ascii="Times New Roman" w:hAnsi="Times New Roman" w:cs="Times New Roman"/>
          <w:b/>
          <w:noProof/>
          <w:sz w:val="24"/>
          <w:szCs w:val="24"/>
          <w:u w:val="single"/>
        </w:rPr>
        <w:t>134</w:t>
      </w:r>
      <w:r w:rsidRPr="00E52B9C">
        <w:rPr>
          <w:rFonts w:ascii="Times New Roman" w:eastAsia="Times New Roman" w:hAnsi="Times New Roman" w:cs="Times New Roman"/>
          <w:b/>
          <w:bCs/>
          <w:color w:val="000000"/>
          <w:sz w:val="24"/>
          <w:szCs w:val="24"/>
          <w:u w:val="single"/>
        </w:rPr>
        <w:t>.11 Disclaimer</w:t>
      </w:r>
    </w:p>
    <w:p w:rsidR="00F87D04" w:rsidRPr="006C276F" w:rsidRDefault="006C5BBF" w:rsidP="006C5BBF">
      <w:pPr>
        <w:spacing w:after="240" w:line="240" w:lineRule="auto"/>
        <w:rPr>
          <w:rFonts w:ascii="Times New Roman" w:hAnsi="Times New Roman" w:cs="Times New Roman"/>
          <w:noProof/>
          <w:sz w:val="24"/>
          <w:szCs w:val="24"/>
          <w:u w:val="single"/>
        </w:rPr>
      </w:pPr>
      <w:r w:rsidRPr="00E52B9C">
        <w:rPr>
          <w:rFonts w:ascii="Times New Roman" w:hAnsi="Times New Roman" w:cs="Times New Roman"/>
          <w:noProof/>
          <w:sz w:val="24"/>
          <w:szCs w:val="24"/>
          <w:u w:val="single"/>
        </w:rPr>
        <w:t>ARGUS, ARGUS MEDIA, the ARGUS Logo, WTS Weighted Average Month 1 - Houston Close Index are trademarks and are used under license from Argus Media Limited.  All copyrights and database rights in the WTS Weighted Average Month 1 - Houston Close Index belong exclusively to the Argus Media group and are used herein under license.  Argus takes no position on the purchase or sale of NFX products which reference Argus or the WTS Weighted Average Month 1 - Houston Close Index and excludes all liability in relation thereto.</w:t>
      </w:r>
    </w:p>
    <w:sectPr w:rsidR="00F87D04" w:rsidRPr="006C276F" w:rsidSect="006207D0">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66" w:rsidRDefault="00B17666" w:rsidP="00A91E78">
      <w:pPr>
        <w:spacing w:after="0" w:line="240" w:lineRule="auto"/>
      </w:pPr>
      <w:r>
        <w:separator/>
      </w:r>
    </w:p>
  </w:endnote>
  <w:endnote w:type="continuationSeparator" w:id="0">
    <w:p w:rsidR="00B17666" w:rsidRDefault="00B17666" w:rsidP="00A9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66" w:rsidRDefault="00B17666" w:rsidP="00A91E78">
      <w:pPr>
        <w:spacing w:after="0" w:line="240" w:lineRule="auto"/>
      </w:pPr>
      <w:r>
        <w:separator/>
      </w:r>
    </w:p>
  </w:footnote>
  <w:footnote w:type="continuationSeparator" w:id="0">
    <w:p w:rsidR="00B17666" w:rsidRDefault="00B17666" w:rsidP="00A9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A5" w:rsidRPr="00161E66" w:rsidRDefault="00CC47A5">
    <w:pPr>
      <w:pStyle w:val="Header"/>
      <w:rPr>
        <w:rFonts w:ascii="Times New Roman" w:hAnsi="Times New Roman" w:cs="Times New Roman"/>
        <w:sz w:val="24"/>
        <w:szCs w:val="24"/>
      </w:rPr>
    </w:pPr>
    <w:r w:rsidRPr="00161E66">
      <w:rPr>
        <w:rFonts w:ascii="Times New Roman" w:hAnsi="Times New Roman" w:cs="Times New Roman"/>
        <w:sz w:val="24"/>
        <w:szCs w:val="24"/>
      </w:rPr>
      <w:t>SR-NFX-2018-4</w:t>
    </w:r>
    <w:r w:rsidR="00A63A4B">
      <w:rPr>
        <w:rFonts w:ascii="Times New Roman" w:hAnsi="Times New Roman" w:cs="Times New Roman"/>
        <w:sz w:val="24"/>
        <w:szCs w:val="24"/>
      </w:rPr>
      <w:t>9</w:t>
    </w:r>
    <w:r w:rsidRPr="00161E66">
      <w:rPr>
        <w:rFonts w:ascii="Times New Roman" w:hAnsi="Times New Roman" w:cs="Times New Roman"/>
        <w:sz w:val="24"/>
        <w:szCs w:val="24"/>
      </w:rPr>
      <w:t xml:space="preserve"> Exhibit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A0"/>
    <w:rsid w:val="000018D3"/>
    <w:rsid w:val="0001220E"/>
    <w:rsid w:val="000554B3"/>
    <w:rsid w:val="00076656"/>
    <w:rsid w:val="00087CF5"/>
    <w:rsid w:val="000A087E"/>
    <w:rsid w:val="000E2C31"/>
    <w:rsid w:val="000E3E8E"/>
    <w:rsid w:val="00111EBE"/>
    <w:rsid w:val="001405FE"/>
    <w:rsid w:val="00146EDA"/>
    <w:rsid w:val="00161E66"/>
    <w:rsid w:val="001700A2"/>
    <w:rsid w:val="00184B0B"/>
    <w:rsid w:val="00190B2E"/>
    <w:rsid w:val="002121CA"/>
    <w:rsid w:val="00215DFF"/>
    <w:rsid w:val="002277AA"/>
    <w:rsid w:val="00256FA0"/>
    <w:rsid w:val="00275C20"/>
    <w:rsid w:val="00334709"/>
    <w:rsid w:val="00344335"/>
    <w:rsid w:val="00347744"/>
    <w:rsid w:val="003B782E"/>
    <w:rsid w:val="00420F1E"/>
    <w:rsid w:val="004221B4"/>
    <w:rsid w:val="00464474"/>
    <w:rsid w:val="00477BC5"/>
    <w:rsid w:val="00492D6F"/>
    <w:rsid w:val="004B1AC0"/>
    <w:rsid w:val="004C05A0"/>
    <w:rsid w:val="004E4F20"/>
    <w:rsid w:val="004F5933"/>
    <w:rsid w:val="00522767"/>
    <w:rsid w:val="00532A24"/>
    <w:rsid w:val="00543DB2"/>
    <w:rsid w:val="005769CD"/>
    <w:rsid w:val="005A3482"/>
    <w:rsid w:val="005F7F85"/>
    <w:rsid w:val="006207D0"/>
    <w:rsid w:val="00642666"/>
    <w:rsid w:val="006540F2"/>
    <w:rsid w:val="00661D18"/>
    <w:rsid w:val="0068261F"/>
    <w:rsid w:val="006C276F"/>
    <w:rsid w:val="006C5BBF"/>
    <w:rsid w:val="006D1C53"/>
    <w:rsid w:val="006E31A1"/>
    <w:rsid w:val="006F54F8"/>
    <w:rsid w:val="006F7305"/>
    <w:rsid w:val="00722B6E"/>
    <w:rsid w:val="007260AC"/>
    <w:rsid w:val="00780C90"/>
    <w:rsid w:val="00780DC3"/>
    <w:rsid w:val="007D5137"/>
    <w:rsid w:val="007E508E"/>
    <w:rsid w:val="00823F66"/>
    <w:rsid w:val="00894B7C"/>
    <w:rsid w:val="008A0731"/>
    <w:rsid w:val="008A0C47"/>
    <w:rsid w:val="008A65D1"/>
    <w:rsid w:val="008B01A0"/>
    <w:rsid w:val="008B0CC1"/>
    <w:rsid w:val="008C16EA"/>
    <w:rsid w:val="009049A7"/>
    <w:rsid w:val="00907399"/>
    <w:rsid w:val="00954900"/>
    <w:rsid w:val="0095737A"/>
    <w:rsid w:val="009B76D6"/>
    <w:rsid w:val="009C73E9"/>
    <w:rsid w:val="00A63A4B"/>
    <w:rsid w:val="00A91E78"/>
    <w:rsid w:val="00A93300"/>
    <w:rsid w:val="00AA6C2D"/>
    <w:rsid w:val="00AB4BF5"/>
    <w:rsid w:val="00AC2164"/>
    <w:rsid w:val="00B15244"/>
    <w:rsid w:val="00B17249"/>
    <w:rsid w:val="00B17666"/>
    <w:rsid w:val="00B35942"/>
    <w:rsid w:val="00B472C6"/>
    <w:rsid w:val="00B54F39"/>
    <w:rsid w:val="00B760A7"/>
    <w:rsid w:val="00B83F11"/>
    <w:rsid w:val="00BB5E45"/>
    <w:rsid w:val="00BC1DDD"/>
    <w:rsid w:val="00BD46A8"/>
    <w:rsid w:val="00C0629E"/>
    <w:rsid w:val="00C2791F"/>
    <w:rsid w:val="00C37AF0"/>
    <w:rsid w:val="00C440FB"/>
    <w:rsid w:val="00C53E55"/>
    <w:rsid w:val="00C60577"/>
    <w:rsid w:val="00C92E2B"/>
    <w:rsid w:val="00CC47A5"/>
    <w:rsid w:val="00D508E1"/>
    <w:rsid w:val="00D609F3"/>
    <w:rsid w:val="00D74000"/>
    <w:rsid w:val="00D82665"/>
    <w:rsid w:val="00DA2B33"/>
    <w:rsid w:val="00DC3C45"/>
    <w:rsid w:val="00DE5F82"/>
    <w:rsid w:val="00DF4EDD"/>
    <w:rsid w:val="00E2642D"/>
    <w:rsid w:val="00E52B9C"/>
    <w:rsid w:val="00EA3E64"/>
    <w:rsid w:val="00EA5CB2"/>
    <w:rsid w:val="00EE3365"/>
    <w:rsid w:val="00EE64D7"/>
    <w:rsid w:val="00EE738E"/>
    <w:rsid w:val="00EF3C21"/>
    <w:rsid w:val="00F0080E"/>
    <w:rsid w:val="00F363A9"/>
    <w:rsid w:val="00F61ECE"/>
    <w:rsid w:val="00F81ECA"/>
    <w:rsid w:val="00F87D04"/>
    <w:rsid w:val="00F91C68"/>
    <w:rsid w:val="00FA544E"/>
    <w:rsid w:val="00FB6415"/>
    <w:rsid w:val="00FC25CC"/>
    <w:rsid w:val="00FC7BFC"/>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DCB956-AA07-4D79-B632-CA15B47F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F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E78"/>
  </w:style>
  <w:style w:type="paragraph" w:styleId="Footer">
    <w:name w:val="footer"/>
    <w:basedOn w:val="Normal"/>
    <w:link w:val="FooterChar"/>
    <w:uiPriority w:val="99"/>
    <w:unhideWhenUsed/>
    <w:rsid w:val="00A9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E78"/>
  </w:style>
  <w:style w:type="character" w:styleId="CommentReference">
    <w:name w:val="annotation reference"/>
    <w:basedOn w:val="DefaultParagraphFont"/>
    <w:uiPriority w:val="99"/>
    <w:semiHidden/>
    <w:unhideWhenUsed/>
    <w:rsid w:val="0001220E"/>
    <w:rPr>
      <w:sz w:val="16"/>
      <w:szCs w:val="16"/>
    </w:rPr>
  </w:style>
  <w:style w:type="paragraph" w:styleId="CommentText">
    <w:name w:val="annotation text"/>
    <w:basedOn w:val="Normal"/>
    <w:link w:val="CommentTextChar"/>
    <w:uiPriority w:val="99"/>
    <w:semiHidden/>
    <w:unhideWhenUsed/>
    <w:rsid w:val="0001220E"/>
    <w:pPr>
      <w:spacing w:line="240" w:lineRule="auto"/>
    </w:pPr>
    <w:rPr>
      <w:sz w:val="20"/>
      <w:szCs w:val="20"/>
    </w:rPr>
  </w:style>
  <w:style w:type="character" w:customStyle="1" w:styleId="CommentTextChar">
    <w:name w:val="Comment Text Char"/>
    <w:basedOn w:val="DefaultParagraphFont"/>
    <w:link w:val="CommentText"/>
    <w:uiPriority w:val="99"/>
    <w:semiHidden/>
    <w:rsid w:val="0001220E"/>
    <w:rPr>
      <w:sz w:val="20"/>
      <w:szCs w:val="20"/>
    </w:rPr>
  </w:style>
  <w:style w:type="paragraph" w:styleId="CommentSubject">
    <w:name w:val="annotation subject"/>
    <w:basedOn w:val="CommentText"/>
    <w:next w:val="CommentText"/>
    <w:link w:val="CommentSubjectChar"/>
    <w:uiPriority w:val="99"/>
    <w:semiHidden/>
    <w:unhideWhenUsed/>
    <w:rsid w:val="0001220E"/>
    <w:rPr>
      <w:b/>
      <w:bCs/>
    </w:rPr>
  </w:style>
  <w:style w:type="character" w:customStyle="1" w:styleId="CommentSubjectChar">
    <w:name w:val="Comment Subject Char"/>
    <w:basedOn w:val="CommentTextChar"/>
    <w:link w:val="CommentSubject"/>
    <w:uiPriority w:val="99"/>
    <w:semiHidden/>
    <w:rsid w:val="0001220E"/>
    <w:rPr>
      <w:b/>
      <w:bCs/>
      <w:sz w:val="20"/>
      <w:szCs w:val="20"/>
    </w:rPr>
  </w:style>
  <w:style w:type="paragraph" w:styleId="BalloonText">
    <w:name w:val="Balloon Text"/>
    <w:basedOn w:val="Normal"/>
    <w:link w:val="BalloonTextChar"/>
    <w:uiPriority w:val="99"/>
    <w:semiHidden/>
    <w:unhideWhenUsed/>
    <w:rsid w:val="0001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853">
      <w:bodyDiv w:val="1"/>
      <w:marLeft w:val="0"/>
      <w:marRight w:val="0"/>
      <w:marTop w:val="0"/>
      <w:marBottom w:val="0"/>
      <w:divBdr>
        <w:top w:val="none" w:sz="0" w:space="0" w:color="auto"/>
        <w:left w:val="none" w:sz="0" w:space="0" w:color="auto"/>
        <w:bottom w:val="none" w:sz="0" w:space="0" w:color="auto"/>
        <w:right w:val="none" w:sz="0" w:space="0" w:color="auto"/>
      </w:divBdr>
    </w:div>
    <w:div w:id="65618307">
      <w:bodyDiv w:val="1"/>
      <w:marLeft w:val="0"/>
      <w:marRight w:val="0"/>
      <w:marTop w:val="0"/>
      <w:marBottom w:val="0"/>
      <w:divBdr>
        <w:top w:val="none" w:sz="0" w:space="0" w:color="auto"/>
        <w:left w:val="none" w:sz="0" w:space="0" w:color="auto"/>
        <w:bottom w:val="none" w:sz="0" w:space="0" w:color="auto"/>
        <w:right w:val="none" w:sz="0" w:space="0" w:color="auto"/>
      </w:divBdr>
    </w:div>
    <w:div w:id="82603827">
      <w:bodyDiv w:val="1"/>
      <w:marLeft w:val="0"/>
      <w:marRight w:val="0"/>
      <w:marTop w:val="0"/>
      <w:marBottom w:val="0"/>
      <w:divBdr>
        <w:top w:val="none" w:sz="0" w:space="0" w:color="auto"/>
        <w:left w:val="none" w:sz="0" w:space="0" w:color="auto"/>
        <w:bottom w:val="none" w:sz="0" w:space="0" w:color="auto"/>
        <w:right w:val="none" w:sz="0" w:space="0" w:color="auto"/>
      </w:divBdr>
    </w:div>
    <w:div w:id="108281865">
      <w:bodyDiv w:val="1"/>
      <w:marLeft w:val="0"/>
      <w:marRight w:val="0"/>
      <w:marTop w:val="0"/>
      <w:marBottom w:val="0"/>
      <w:divBdr>
        <w:top w:val="none" w:sz="0" w:space="0" w:color="auto"/>
        <w:left w:val="none" w:sz="0" w:space="0" w:color="auto"/>
        <w:bottom w:val="none" w:sz="0" w:space="0" w:color="auto"/>
        <w:right w:val="none" w:sz="0" w:space="0" w:color="auto"/>
      </w:divBdr>
    </w:div>
    <w:div w:id="131605647">
      <w:bodyDiv w:val="1"/>
      <w:marLeft w:val="0"/>
      <w:marRight w:val="0"/>
      <w:marTop w:val="0"/>
      <w:marBottom w:val="0"/>
      <w:divBdr>
        <w:top w:val="none" w:sz="0" w:space="0" w:color="auto"/>
        <w:left w:val="none" w:sz="0" w:space="0" w:color="auto"/>
        <w:bottom w:val="none" w:sz="0" w:space="0" w:color="auto"/>
        <w:right w:val="none" w:sz="0" w:space="0" w:color="auto"/>
      </w:divBdr>
    </w:div>
    <w:div w:id="173499354">
      <w:bodyDiv w:val="1"/>
      <w:marLeft w:val="0"/>
      <w:marRight w:val="0"/>
      <w:marTop w:val="0"/>
      <w:marBottom w:val="0"/>
      <w:divBdr>
        <w:top w:val="none" w:sz="0" w:space="0" w:color="auto"/>
        <w:left w:val="none" w:sz="0" w:space="0" w:color="auto"/>
        <w:bottom w:val="none" w:sz="0" w:space="0" w:color="auto"/>
        <w:right w:val="none" w:sz="0" w:space="0" w:color="auto"/>
      </w:divBdr>
    </w:div>
    <w:div w:id="180239660">
      <w:bodyDiv w:val="1"/>
      <w:marLeft w:val="0"/>
      <w:marRight w:val="0"/>
      <w:marTop w:val="0"/>
      <w:marBottom w:val="0"/>
      <w:divBdr>
        <w:top w:val="none" w:sz="0" w:space="0" w:color="auto"/>
        <w:left w:val="none" w:sz="0" w:space="0" w:color="auto"/>
        <w:bottom w:val="none" w:sz="0" w:space="0" w:color="auto"/>
        <w:right w:val="none" w:sz="0" w:space="0" w:color="auto"/>
      </w:divBdr>
    </w:div>
    <w:div w:id="194851087">
      <w:bodyDiv w:val="1"/>
      <w:marLeft w:val="0"/>
      <w:marRight w:val="0"/>
      <w:marTop w:val="0"/>
      <w:marBottom w:val="0"/>
      <w:divBdr>
        <w:top w:val="none" w:sz="0" w:space="0" w:color="auto"/>
        <w:left w:val="none" w:sz="0" w:space="0" w:color="auto"/>
        <w:bottom w:val="none" w:sz="0" w:space="0" w:color="auto"/>
        <w:right w:val="none" w:sz="0" w:space="0" w:color="auto"/>
      </w:divBdr>
    </w:div>
    <w:div w:id="203101647">
      <w:bodyDiv w:val="1"/>
      <w:marLeft w:val="0"/>
      <w:marRight w:val="0"/>
      <w:marTop w:val="0"/>
      <w:marBottom w:val="0"/>
      <w:divBdr>
        <w:top w:val="none" w:sz="0" w:space="0" w:color="auto"/>
        <w:left w:val="none" w:sz="0" w:space="0" w:color="auto"/>
        <w:bottom w:val="none" w:sz="0" w:space="0" w:color="auto"/>
        <w:right w:val="none" w:sz="0" w:space="0" w:color="auto"/>
      </w:divBdr>
    </w:div>
    <w:div w:id="239364509">
      <w:bodyDiv w:val="1"/>
      <w:marLeft w:val="0"/>
      <w:marRight w:val="0"/>
      <w:marTop w:val="0"/>
      <w:marBottom w:val="0"/>
      <w:divBdr>
        <w:top w:val="none" w:sz="0" w:space="0" w:color="auto"/>
        <w:left w:val="none" w:sz="0" w:space="0" w:color="auto"/>
        <w:bottom w:val="none" w:sz="0" w:space="0" w:color="auto"/>
        <w:right w:val="none" w:sz="0" w:space="0" w:color="auto"/>
      </w:divBdr>
    </w:div>
    <w:div w:id="244268190">
      <w:bodyDiv w:val="1"/>
      <w:marLeft w:val="0"/>
      <w:marRight w:val="0"/>
      <w:marTop w:val="0"/>
      <w:marBottom w:val="0"/>
      <w:divBdr>
        <w:top w:val="none" w:sz="0" w:space="0" w:color="auto"/>
        <w:left w:val="none" w:sz="0" w:space="0" w:color="auto"/>
        <w:bottom w:val="none" w:sz="0" w:space="0" w:color="auto"/>
        <w:right w:val="none" w:sz="0" w:space="0" w:color="auto"/>
      </w:divBdr>
    </w:div>
    <w:div w:id="259338053">
      <w:bodyDiv w:val="1"/>
      <w:marLeft w:val="0"/>
      <w:marRight w:val="0"/>
      <w:marTop w:val="0"/>
      <w:marBottom w:val="0"/>
      <w:divBdr>
        <w:top w:val="none" w:sz="0" w:space="0" w:color="auto"/>
        <w:left w:val="none" w:sz="0" w:space="0" w:color="auto"/>
        <w:bottom w:val="none" w:sz="0" w:space="0" w:color="auto"/>
        <w:right w:val="none" w:sz="0" w:space="0" w:color="auto"/>
      </w:divBdr>
    </w:div>
    <w:div w:id="280500052">
      <w:bodyDiv w:val="1"/>
      <w:marLeft w:val="0"/>
      <w:marRight w:val="0"/>
      <w:marTop w:val="0"/>
      <w:marBottom w:val="0"/>
      <w:divBdr>
        <w:top w:val="none" w:sz="0" w:space="0" w:color="auto"/>
        <w:left w:val="none" w:sz="0" w:space="0" w:color="auto"/>
        <w:bottom w:val="none" w:sz="0" w:space="0" w:color="auto"/>
        <w:right w:val="none" w:sz="0" w:space="0" w:color="auto"/>
      </w:divBdr>
    </w:div>
    <w:div w:id="283583740">
      <w:bodyDiv w:val="1"/>
      <w:marLeft w:val="0"/>
      <w:marRight w:val="0"/>
      <w:marTop w:val="0"/>
      <w:marBottom w:val="0"/>
      <w:divBdr>
        <w:top w:val="none" w:sz="0" w:space="0" w:color="auto"/>
        <w:left w:val="none" w:sz="0" w:space="0" w:color="auto"/>
        <w:bottom w:val="none" w:sz="0" w:space="0" w:color="auto"/>
        <w:right w:val="none" w:sz="0" w:space="0" w:color="auto"/>
      </w:divBdr>
    </w:div>
    <w:div w:id="296376603">
      <w:bodyDiv w:val="1"/>
      <w:marLeft w:val="0"/>
      <w:marRight w:val="0"/>
      <w:marTop w:val="0"/>
      <w:marBottom w:val="0"/>
      <w:divBdr>
        <w:top w:val="none" w:sz="0" w:space="0" w:color="auto"/>
        <w:left w:val="none" w:sz="0" w:space="0" w:color="auto"/>
        <w:bottom w:val="none" w:sz="0" w:space="0" w:color="auto"/>
        <w:right w:val="none" w:sz="0" w:space="0" w:color="auto"/>
      </w:divBdr>
    </w:div>
    <w:div w:id="308903219">
      <w:bodyDiv w:val="1"/>
      <w:marLeft w:val="0"/>
      <w:marRight w:val="0"/>
      <w:marTop w:val="0"/>
      <w:marBottom w:val="0"/>
      <w:divBdr>
        <w:top w:val="none" w:sz="0" w:space="0" w:color="auto"/>
        <w:left w:val="none" w:sz="0" w:space="0" w:color="auto"/>
        <w:bottom w:val="none" w:sz="0" w:space="0" w:color="auto"/>
        <w:right w:val="none" w:sz="0" w:space="0" w:color="auto"/>
      </w:divBdr>
    </w:div>
    <w:div w:id="358823406">
      <w:bodyDiv w:val="1"/>
      <w:marLeft w:val="0"/>
      <w:marRight w:val="0"/>
      <w:marTop w:val="0"/>
      <w:marBottom w:val="0"/>
      <w:divBdr>
        <w:top w:val="none" w:sz="0" w:space="0" w:color="auto"/>
        <w:left w:val="none" w:sz="0" w:space="0" w:color="auto"/>
        <w:bottom w:val="none" w:sz="0" w:space="0" w:color="auto"/>
        <w:right w:val="none" w:sz="0" w:space="0" w:color="auto"/>
      </w:divBdr>
    </w:div>
    <w:div w:id="373651868">
      <w:bodyDiv w:val="1"/>
      <w:marLeft w:val="0"/>
      <w:marRight w:val="0"/>
      <w:marTop w:val="0"/>
      <w:marBottom w:val="0"/>
      <w:divBdr>
        <w:top w:val="none" w:sz="0" w:space="0" w:color="auto"/>
        <w:left w:val="none" w:sz="0" w:space="0" w:color="auto"/>
        <w:bottom w:val="none" w:sz="0" w:space="0" w:color="auto"/>
        <w:right w:val="none" w:sz="0" w:space="0" w:color="auto"/>
      </w:divBdr>
    </w:div>
    <w:div w:id="380594695">
      <w:bodyDiv w:val="1"/>
      <w:marLeft w:val="0"/>
      <w:marRight w:val="0"/>
      <w:marTop w:val="0"/>
      <w:marBottom w:val="0"/>
      <w:divBdr>
        <w:top w:val="none" w:sz="0" w:space="0" w:color="auto"/>
        <w:left w:val="none" w:sz="0" w:space="0" w:color="auto"/>
        <w:bottom w:val="none" w:sz="0" w:space="0" w:color="auto"/>
        <w:right w:val="none" w:sz="0" w:space="0" w:color="auto"/>
      </w:divBdr>
    </w:div>
    <w:div w:id="416364021">
      <w:bodyDiv w:val="1"/>
      <w:marLeft w:val="0"/>
      <w:marRight w:val="0"/>
      <w:marTop w:val="0"/>
      <w:marBottom w:val="0"/>
      <w:divBdr>
        <w:top w:val="none" w:sz="0" w:space="0" w:color="auto"/>
        <w:left w:val="none" w:sz="0" w:space="0" w:color="auto"/>
        <w:bottom w:val="none" w:sz="0" w:space="0" w:color="auto"/>
        <w:right w:val="none" w:sz="0" w:space="0" w:color="auto"/>
      </w:divBdr>
    </w:div>
    <w:div w:id="439573890">
      <w:bodyDiv w:val="1"/>
      <w:marLeft w:val="0"/>
      <w:marRight w:val="0"/>
      <w:marTop w:val="0"/>
      <w:marBottom w:val="0"/>
      <w:divBdr>
        <w:top w:val="none" w:sz="0" w:space="0" w:color="auto"/>
        <w:left w:val="none" w:sz="0" w:space="0" w:color="auto"/>
        <w:bottom w:val="none" w:sz="0" w:space="0" w:color="auto"/>
        <w:right w:val="none" w:sz="0" w:space="0" w:color="auto"/>
      </w:divBdr>
    </w:div>
    <w:div w:id="452789393">
      <w:bodyDiv w:val="1"/>
      <w:marLeft w:val="0"/>
      <w:marRight w:val="0"/>
      <w:marTop w:val="0"/>
      <w:marBottom w:val="0"/>
      <w:divBdr>
        <w:top w:val="none" w:sz="0" w:space="0" w:color="auto"/>
        <w:left w:val="none" w:sz="0" w:space="0" w:color="auto"/>
        <w:bottom w:val="none" w:sz="0" w:space="0" w:color="auto"/>
        <w:right w:val="none" w:sz="0" w:space="0" w:color="auto"/>
      </w:divBdr>
    </w:div>
    <w:div w:id="455879074">
      <w:bodyDiv w:val="1"/>
      <w:marLeft w:val="0"/>
      <w:marRight w:val="0"/>
      <w:marTop w:val="0"/>
      <w:marBottom w:val="0"/>
      <w:divBdr>
        <w:top w:val="none" w:sz="0" w:space="0" w:color="auto"/>
        <w:left w:val="none" w:sz="0" w:space="0" w:color="auto"/>
        <w:bottom w:val="none" w:sz="0" w:space="0" w:color="auto"/>
        <w:right w:val="none" w:sz="0" w:space="0" w:color="auto"/>
      </w:divBdr>
    </w:div>
    <w:div w:id="461466655">
      <w:bodyDiv w:val="1"/>
      <w:marLeft w:val="0"/>
      <w:marRight w:val="0"/>
      <w:marTop w:val="0"/>
      <w:marBottom w:val="0"/>
      <w:divBdr>
        <w:top w:val="none" w:sz="0" w:space="0" w:color="auto"/>
        <w:left w:val="none" w:sz="0" w:space="0" w:color="auto"/>
        <w:bottom w:val="none" w:sz="0" w:space="0" w:color="auto"/>
        <w:right w:val="none" w:sz="0" w:space="0" w:color="auto"/>
      </w:divBdr>
    </w:div>
    <w:div w:id="473328411">
      <w:bodyDiv w:val="1"/>
      <w:marLeft w:val="0"/>
      <w:marRight w:val="0"/>
      <w:marTop w:val="0"/>
      <w:marBottom w:val="0"/>
      <w:divBdr>
        <w:top w:val="none" w:sz="0" w:space="0" w:color="auto"/>
        <w:left w:val="none" w:sz="0" w:space="0" w:color="auto"/>
        <w:bottom w:val="none" w:sz="0" w:space="0" w:color="auto"/>
        <w:right w:val="none" w:sz="0" w:space="0" w:color="auto"/>
      </w:divBdr>
    </w:div>
    <w:div w:id="515389586">
      <w:bodyDiv w:val="1"/>
      <w:marLeft w:val="0"/>
      <w:marRight w:val="0"/>
      <w:marTop w:val="0"/>
      <w:marBottom w:val="0"/>
      <w:divBdr>
        <w:top w:val="none" w:sz="0" w:space="0" w:color="auto"/>
        <w:left w:val="none" w:sz="0" w:space="0" w:color="auto"/>
        <w:bottom w:val="none" w:sz="0" w:space="0" w:color="auto"/>
        <w:right w:val="none" w:sz="0" w:space="0" w:color="auto"/>
      </w:divBdr>
    </w:div>
    <w:div w:id="519512491">
      <w:bodyDiv w:val="1"/>
      <w:marLeft w:val="0"/>
      <w:marRight w:val="0"/>
      <w:marTop w:val="0"/>
      <w:marBottom w:val="0"/>
      <w:divBdr>
        <w:top w:val="none" w:sz="0" w:space="0" w:color="auto"/>
        <w:left w:val="none" w:sz="0" w:space="0" w:color="auto"/>
        <w:bottom w:val="none" w:sz="0" w:space="0" w:color="auto"/>
        <w:right w:val="none" w:sz="0" w:space="0" w:color="auto"/>
      </w:divBdr>
    </w:div>
    <w:div w:id="581719739">
      <w:bodyDiv w:val="1"/>
      <w:marLeft w:val="0"/>
      <w:marRight w:val="0"/>
      <w:marTop w:val="0"/>
      <w:marBottom w:val="0"/>
      <w:divBdr>
        <w:top w:val="none" w:sz="0" w:space="0" w:color="auto"/>
        <w:left w:val="none" w:sz="0" w:space="0" w:color="auto"/>
        <w:bottom w:val="none" w:sz="0" w:space="0" w:color="auto"/>
        <w:right w:val="none" w:sz="0" w:space="0" w:color="auto"/>
      </w:divBdr>
    </w:div>
    <w:div w:id="588655904">
      <w:bodyDiv w:val="1"/>
      <w:marLeft w:val="0"/>
      <w:marRight w:val="0"/>
      <w:marTop w:val="0"/>
      <w:marBottom w:val="0"/>
      <w:divBdr>
        <w:top w:val="none" w:sz="0" w:space="0" w:color="auto"/>
        <w:left w:val="none" w:sz="0" w:space="0" w:color="auto"/>
        <w:bottom w:val="none" w:sz="0" w:space="0" w:color="auto"/>
        <w:right w:val="none" w:sz="0" w:space="0" w:color="auto"/>
      </w:divBdr>
    </w:div>
    <w:div w:id="626010981">
      <w:bodyDiv w:val="1"/>
      <w:marLeft w:val="0"/>
      <w:marRight w:val="0"/>
      <w:marTop w:val="0"/>
      <w:marBottom w:val="0"/>
      <w:divBdr>
        <w:top w:val="none" w:sz="0" w:space="0" w:color="auto"/>
        <w:left w:val="none" w:sz="0" w:space="0" w:color="auto"/>
        <w:bottom w:val="none" w:sz="0" w:space="0" w:color="auto"/>
        <w:right w:val="none" w:sz="0" w:space="0" w:color="auto"/>
      </w:divBdr>
    </w:div>
    <w:div w:id="672101597">
      <w:bodyDiv w:val="1"/>
      <w:marLeft w:val="0"/>
      <w:marRight w:val="0"/>
      <w:marTop w:val="0"/>
      <w:marBottom w:val="0"/>
      <w:divBdr>
        <w:top w:val="none" w:sz="0" w:space="0" w:color="auto"/>
        <w:left w:val="none" w:sz="0" w:space="0" w:color="auto"/>
        <w:bottom w:val="none" w:sz="0" w:space="0" w:color="auto"/>
        <w:right w:val="none" w:sz="0" w:space="0" w:color="auto"/>
      </w:divBdr>
    </w:div>
    <w:div w:id="705980674">
      <w:bodyDiv w:val="1"/>
      <w:marLeft w:val="0"/>
      <w:marRight w:val="0"/>
      <w:marTop w:val="0"/>
      <w:marBottom w:val="0"/>
      <w:divBdr>
        <w:top w:val="none" w:sz="0" w:space="0" w:color="auto"/>
        <w:left w:val="none" w:sz="0" w:space="0" w:color="auto"/>
        <w:bottom w:val="none" w:sz="0" w:space="0" w:color="auto"/>
        <w:right w:val="none" w:sz="0" w:space="0" w:color="auto"/>
      </w:divBdr>
    </w:div>
    <w:div w:id="723143325">
      <w:bodyDiv w:val="1"/>
      <w:marLeft w:val="0"/>
      <w:marRight w:val="0"/>
      <w:marTop w:val="0"/>
      <w:marBottom w:val="0"/>
      <w:divBdr>
        <w:top w:val="none" w:sz="0" w:space="0" w:color="auto"/>
        <w:left w:val="none" w:sz="0" w:space="0" w:color="auto"/>
        <w:bottom w:val="none" w:sz="0" w:space="0" w:color="auto"/>
        <w:right w:val="none" w:sz="0" w:space="0" w:color="auto"/>
      </w:divBdr>
    </w:div>
    <w:div w:id="727191205">
      <w:bodyDiv w:val="1"/>
      <w:marLeft w:val="0"/>
      <w:marRight w:val="0"/>
      <w:marTop w:val="0"/>
      <w:marBottom w:val="0"/>
      <w:divBdr>
        <w:top w:val="none" w:sz="0" w:space="0" w:color="auto"/>
        <w:left w:val="none" w:sz="0" w:space="0" w:color="auto"/>
        <w:bottom w:val="none" w:sz="0" w:space="0" w:color="auto"/>
        <w:right w:val="none" w:sz="0" w:space="0" w:color="auto"/>
      </w:divBdr>
    </w:div>
    <w:div w:id="749305010">
      <w:bodyDiv w:val="1"/>
      <w:marLeft w:val="0"/>
      <w:marRight w:val="0"/>
      <w:marTop w:val="0"/>
      <w:marBottom w:val="0"/>
      <w:divBdr>
        <w:top w:val="none" w:sz="0" w:space="0" w:color="auto"/>
        <w:left w:val="none" w:sz="0" w:space="0" w:color="auto"/>
        <w:bottom w:val="none" w:sz="0" w:space="0" w:color="auto"/>
        <w:right w:val="none" w:sz="0" w:space="0" w:color="auto"/>
      </w:divBdr>
    </w:div>
    <w:div w:id="758528943">
      <w:bodyDiv w:val="1"/>
      <w:marLeft w:val="0"/>
      <w:marRight w:val="0"/>
      <w:marTop w:val="0"/>
      <w:marBottom w:val="0"/>
      <w:divBdr>
        <w:top w:val="none" w:sz="0" w:space="0" w:color="auto"/>
        <w:left w:val="none" w:sz="0" w:space="0" w:color="auto"/>
        <w:bottom w:val="none" w:sz="0" w:space="0" w:color="auto"/>
        <w:right w:val="none" w:sz="0" w:space="0" w:color="auto"/>
      </w:divBdr>
    </w:div>
    <w:div w:id="794909786">
      <w:bodyDiv w:val="1"/>
      <w:marLeft w:val="0"/>
      <w:marRight w:val="0"/>
      <w:marTop w:val="0"/>
      <w:marBottom w:val="0"/>
      <w:divBdr>
        <w:top w:val="none" w:sz="0" w:space="0" w:color="auto"/>
        <w:left w:val="none" w:sz="0" w:space="0" w:color="auto"/>
        <w:bottom w:val="none" w:sz="0" w:space="0" w:color="auto"/>
        <w:right w:val="none" w:sz="0" w:space="0" w:color="auto"/>
      </w:divBdr>
    </w:div>
    <w:div w:id="801311696">
      <w:bodyDiv w:val="1"/>
      <w:marLeft w:val="0"/>
      <w:marRight w:val="0"/>
      <w:marTop w:val="0"/>
      <w:marBottom w:val="0"/>
      <w:divBdr>
        <w:top w:val="none" w:sz="0" w:space="0" w:color="auto"/>
        <w:left w:val="none" w:sz="0" w:space="0" w:color="auto"/>
        <w:bottom w:val="none" w:sz="0" w:space="0" w:color="auto"/>
        <w:right w:val="none" w:sz="0" w:space="0" w:color="auto"/>
      </w:divBdr>
    </w:div>
    <w:div w:id="837841916">
      <w:bodyDiv w:val="1"/>
      <w:marLeft w:val="0"/>
      <w:marRight w:val="0"/>
      <w:marTop w:val="0"/>
      <w:marBottom w:val="0"/>
      <w:divBdr>
        <w:top w:val="none" w:sz="0" w:space="0" w:color="auto"/>
        <w:left w:val="none" w:sz="0" w:space="0" w:color="auto"/>
        <w:bottom w:val="none" w:sz="0" w:space="0" w:color="auto"/>
        <w:right w:val="none" w:sz="0" w:space="0" w:color="auto"/>
      </w:divBdr>
    </w:div>
    <w:div w:id="855074546">
      <w:bodyDiv w:val="1"/>
      <w:marLeft w:val="0"/>
      <w:marRight w:val="0"/>
      <w:marTop w:val="0"/>
      <w:marBottom w:val="0"/>
      <w:divBdr>
        <w:top w:val="none" w:sz="0" w:space="0" w:color="auto"/>
        <w:left w:val="none" w:sz="0" w:space="0" w:color="auto"/>
        <w:bottom w:val="none" w:sz="0" w:space="0" w:color="auto"/>
        <w:right w:val="none" w:sz="0" w:space="0" w:color="auto"/>
      </w:divBdr>
    </w:div>
    <w:div w:id="895049511">
      <w:bodyDiv w:val="1"/>
      <w:marLeft w:val="0"/>
      <w:marRight w:val="0"/>
      <w:marTop w:val="0"/>
      <w:marBottom w:val="0"/>
      <w:divBdr>
        <w:top w:val="none" w:sz="0" w:space="0" w:color="auto"/>
        <w:left w:val="none" w:sz="0" w:space="0" w:color="auto"/>
        <w:bottom w:val="none" w:sz="0" w:space="0" w:color="auto"/>
        <w:right w:val="none" w:sz="0" w:space="0" w:color="auto"/>
      </w:divBdr>
    </w:div>
    <w:div w:id="905991485">
      <w:bodyDiv w:val="1"/>
      <w:marLeft w:val="0"/>
      <w:marRight w:val="0"/>
      <w:marTop w:val="0"/>
      <w:marBottom w:val="0"/>
      <w:divBdr>
        <w:top w:val="none" w:sz="0" w:space="0" w:color="auto"/>
        <w:left w:val="none" w:sz="0" w:space="0" w:color="auto"/>
        <w:bottom w:val="none" w:sz="0" w:space="0" w:color="auto"/>
        <w:right w:val="none" w:sz="0" w:space="0" w:color="auto"/>
      </w:divBdr>
    </w:div>
    <w:div w:id="909580775">
      <w:bodyDiv w:val="1"/>
      <w:marLeft w:val="0"/>
      <w:marRight w:val="0"/>
      <w:marTop w:val="0"/>
      <w:marBottom w:val="0"/>
      <w:divBdr>
        <w:top w:val="none" w:sz="0" w:space="0" w:color="auto"/>
        <w:left w:val="none" w:sz="0" w:space="0" w:color="auto"/>
        <w:bottom w:val="none" w:sz="0" w:space="0" w:color="auto"/>
        <w:right w:val="none" w:sz="0" w:space="0" w:color="auto"/>
      </w:divBdr>
    </w:div>
    <w:div w:id="913009565">
      <w:bodyDiv w:val="1"/>
      <w:marLeft w:val="0"/>
      <w:marRight w:val="0"/>
      <w:marTop w:val="0"/>
      <w:marBottom w:val="0"/>
      <w:divBdr>
        <w:top w:val="none" w:sz="0" w:space="0" w:color="auto"/>
        <w:left w:val="none" w:sz="0" w:space="0" w:color="auto"/>
        <w:bottom w:val="none" w:sz="0" w:space="0" w:color="auto"/>
        <w:right w:val="none" w:sz="0" w:space="0" w:color="auto"/>
      </w:divBdr>
    </w:div>
    <w:div w:id="934746729">
      <w:bodyDiv w:val="1"/>
      <w:marLeft w:val="0"/>
      <w:marRight w:val="0"/>
      <w:marTop w:val="0"/>
      <w:marBottom w:val="0"/>
      <w:divBdr>
        <w:top w:val="none" w:sz="0" w:space="0" w:color="auto"/>
        <w:left w:val="none" w:sz="0" w:space="0" w:color="auto"/>
        <w:bottom w:val="none" w:sz="0" w:space="0" w:color="auto"/>
        <w:right w:val="none" w:sz="0" w:space="0" w:color="auto"/>
      </w:divBdr>
    </w:div>
    <w:div w:id="940720762">
      <w:bodyDiv w:val="1"/>
      <w:marLeft w:val="0"/>
      <w:marRight w:val="0"/>
      <w:marTop w:val="0"/>
      <w:marBottom w:val="0"/>
      <w:divBdr>
        <w:top w:val="none" w:sz="0" w:space="0" w:color="auto"/>
        <w:left w:val="none" w:sz="0" w:space="0" w:color="auto"/>
        <w:bottom w:val="none" w:sz="0" w:space="0" w:color="auto"/>
        <w:right w:val="none" w:sz="0" w:space="0" w:color="auto"/>
      </w:divBdr>
    </w:div>
    <w:div w:id="990907619">
      <w:bodyDiv w:val="1"/>
      <w:marLeft w:val="0"/>
      <w:marRight w:val="0"/>
      <w:marTop w:val="0"/>
      <w:marBottom w:val="0"/>
      <w:divBdr>
        <w:top w:val="none" w:sz="0" w:space="0" w:color="auto"/>
        <w:left w:val="none" w:sz="0" w:space="0" w:color="auto"/>
        <w:bottom w:val="none" w:sz="0" w:space="0" w:color="auto"/>
        <w:right w:val="none" w:sz="0" w:space="0" w:color="auto"/>
      </w:divBdr>
    </w:div>
    <w:div w:id="1007446456">
      <w:bodyDiv w:val="1"/>
      <w:marLeft w:val="0"/>
      <w:marRight w:val="0"/>
      <w:marTop w:val="0"/>
      <w:marBottom w:val="0"/>
      <w:divBdr>
        <w:top w:val="none" w:sz="0" w:space="0" w:color="auto"/>
        <w:left w:val="none" w:sz="0" w:space="0" w:color="auto"/>
        <w:bottom w:val="none" w:sz="0" w:space="0" w:color="auto"/>
        <w:right w:val="none" w:sz="0" w:space="0" w:color="auto"/>
      </w:divBdr>
    </w:div>
    <w:div w:id="1017972660">
      <w:bodyDiv w:val="1"/>
      <w:marLeft w:val="0"/>
      <w:marRight w:val="0"/>
      <w:marTop w:val="0"/>
      <w:marBottom w:val="0"/>
      <w:divBdr>
        <w:top w:val="none" w:sz="0" w:space="0" w:color="auto"/>
        <w:left w:val="none" w:sz="0" w:space="0" w:color="auto"/>
        <w:bottom w:val="none" w:sz="0" w:space="0" w:color="auto"/>
        <w:right w:val="none" w:sz="0" w:space="0" w:color="auto"/>
      </w:divBdr>
    </w:div>
    <w:div w:id="1029992134">
      <w:bodyDiv w:val="1"/>
      <w:marLeft w:val="0"/>
      <w:marRight w:val="0"/>
      <w:marTop w:val="0"/>
      <w:marBottom w:val="0"/>
      <w:divBdr>
        <w:top w:val="none" w:sz="0" w:space="0" w:color="auto"/>
        <w:left w:val="none" w:sz="0" w:space="0" w:color="auto"/>
        <w:bottom w:val="none" w:sz="0" w:space="0" w:color="auto"/>
        <w:right w:val="none" w:sz="0" w:space="0" w:color="auto"/>
      </w:divBdr>
    </w:div>
    <w:div w:id="1071006725">
      <w:bodyDiv w:val="1"/>
      <w:marLeft w:val="0"/>
      <w:marRight w:val="0"/>
      <w:marTop w:val="0"/>
      <w:marBottom w:val="0"/>
      <w:divBdr>
        <w:top w:val="none" w:sz="0" w:space="0" w:color="auto"/>
        <w:left w:val="none" w:sz="0" w:space="0" w:color="auto"/>
        <w:bottom w:val="none" w:sz="0" w:space="0" w:color="auto"/>
        <w:right w:val="none" w:sz="0" w:space="0" w:color="auto"/>
      </w:divBdr>
    </w:div>
    <w:div w:id="1099105903">
      <w:bodyDiv w:val="1"/>
      <w:marLeft w:val="0"/>
      <w:marRight w:val="0"/>
      <w:marTop w:val="0"/>
      <w:marBottom w:val="0"/>
      <w:divBdr>
        <w:top w:val="none" w:sz="0" w:space="0" w:color="auto"/>
        <w:left w:val="none" w:sz="0" w:space="0" w:color="auto"/>
        <w:bottom w:val="none" w:sz="0" w:space="0" w:color="auto"/>
        <w:right w:val="none" w:sz="0" w:space="0" w:color="auto"/>
      </w:divBdr>
    </w:div>
    <w:div w:id="1137993714">
      <w:bodyDiv w:val="1"/>
      <w:marLeft w:val="0"/>
      <w:marRight w:val="0"/>
      <w:marTop w:val="0"/>
      <w:marBottom w:val="0"/>
      <w:divBdr>
        <w:top w:val="none" w:sz="0" w:space="0" w:color="auto"/>
        <w:left w:val="none" w:sz="0" w:space="0" w:color="auto"/>
        <w:bottom w:val="none" w:sz="0" w:space="0" w:color="auto"/>
        <w:right w:val="none" w:sz="0" w:space="0" w:color="auto"/>
      </w:divBdr>
    </w:div>
    <w:div w:id="1156645870">
      <w:bodyDiv w:val="1"/>
      <w:marLeft w:val="0"/>
      <w:marRight w:val="0"/>
      <w:marTop w:val="0"/>
      <w:marBottom w:val="0"/>
      <w:divBdr>
        <w:top w:val="none" w:sz="0" w:space="0" w:color="auto"/>
        <w:left w:val="none" w:sz="0" w:space="0" w:color="auto"/>
        <w:bottom w:val="none" w:sz="0" w:space="0" w:color="auto"/>
        <w:right w:val="none" w:sz="0" w:space="0" w:color="auto"/>
      </w:divBdr>
    </w:div>
    <w:div w:id="1160343220">
      <w:bodyDiv w:val="1"/>
      <w:marLeft w:val="0"/>
      <w:marRight w:val="0"/>
      <w:marTop w:val="0"/>
      <w:marBottom w:val="0"/>
      <w:divBdr>
        <w:top w:val="none" w:sz="0" w:space="0" w:color="auto"/>
        <w:left w:val="none" w:sz="0" w:space="0" w:color="auto"/>
        <w:bottom w:val="none" w:sz="0" w:space="0" w:color="auto"/>
        <w:right w:val="none" w:sz="0" w:space="0" w:color="auto"/>
      </w:divBdr>
    </w:div>
    <w:div w:id="1166284996">
      <w:bodyDiv w:val="1"/>
      <w:marLeft w:val="0"/>
      <w:marRight w:val="0"/>
      <w:marTop w:val="0"/>
      <w:marBottom w:val="0"/>
      <w:divBdr>
        <w:top w:val="none" w:sz="0" w:space="0" w:color="auto"/>
        <w:left w:val="none" w:sz="0" w:space="0" w:color="auto"/>
        <w:bottom w:val="none" w:sz="0" w:space="0" w:color="auto"/>
        <w:right w:val="none" w:sz="0" w:space="0" w:color="auto"/>
      </w:divBdr>
    </w:div>
    <w:div w:id="1195923964">
      <w:bodyDiv w:val="1"/>
      <w:marLeft w:val="0"/>
      <w:marRight w:val="0"/>
      <w:marTop w:val="0"/>
      <w:marBottom w:val="0"/>
      <w:divBdr>
        <w:top w:val="none" w:sz="0" w:space="0" w:color="auto"/>
        <w:left w:val="none" w:sz="0" w:space="0" w:color="auto"/>
        <w:bottom w:val="none" w:sz="0" w:space="0" w:color="auto"/>
        <w:right w:val="none" w:sz="0" w:space="0" w:color="auto"/>
      </w:divBdr>
    </w:div>
    <w:div w:id="1244074057">
      <w:bodyDiv w:val="1"/>
      <w:marLeft w:val="0"/>
      <w:marRight w:val="0"/>
      <w:marTop w:val="0"/>
      <w:marBottom w:val="0"/>
      <w:divBdr>
        <w:top w:val="none" w:sz="0" w:space="0" w:color="auto"/>
        <w:left w:val="none" w:sz="0" w:space="0" w:color="auto"/>
        <w:bottom w:val="none" w:sz="0" w:space="0" w:color="auto"/>
        <w:right w:val="none" w:sz="0" w:space="0" w:color="auto"/>
      </w:divBdr>
    </w:div>
    <w:div w:id="1257716896">
      <w:bodyDiv w:val="1"/>
      <w:marLeft w:val="0"/>
      <w:marRight w:val="0"/>
      <w:marTop w:val="0"/>
      <w:marBottom w:val="0"/>
      <w:divBdr>
        <w:top w:val="none" w:sz="0" w:space="0" w:color="auto"/>
        <w:left w:val="none" w:sz="0" w:space="0" w:color="auto"/>
        <w:bottom w:val="none" w:sz="0" w:space="0" w:color="auto"/>
        <w:right w:val="none" w:sz="0" w:space="0" w:color="auto"/>
      </w:divBdr>
    </w:div>
    <w:div w:id="1279023815">
      <w:bodyDiv w:val="1"/>
      <w:marLeft w:val="0"/>
      <w:marRight w:val="0"/>
      <w:marTop w:val="0"/>
      <w:marBottom w:val="0"/>
      <w:divBdr>
        <w:top w:val="none" w:sz="0" w:space="0" w:color="auto"/>
        <w:left w:val="none" w:sz="0" w:space="0" w:color="auto"/>
        <w:bottom w:val="none" w:sz="0" w:space="0" w:color="auto"/>
        <w:right w:val="none" w:sz="0" w:space="0" w:color="auto"/>
      </w:divBdr>
    </w:div>
    <w:div w:id="1287782806">
      <w:bodyDiv w:val="1"/>
      <w:marLeft w:val="0"/>
      <w:marRight w:val="0"/>
      <w:marTop w:val="0"/>
      <w:marBottom w:val="0"/>
      <w:divBdr>
        <w:top w:val="none" w:sz="0" w:space="0" w:color="auto"/>
        <w:left w:val="none" w:sz="0" w:space="0" w:color="auto"/>
        <w:bottom w:val="none" w:sz="0" w:space="0" w:color="auto"/>
        <w:right w:val="none" w:sz="0" w:space="0" w:color="auto"/>
      </w:divBdr>
    </w:div>
    <w:div w:id="1296065865">
      <w:bodyDiv w:val="1"/>
      <w:marLeft w:val="0"/>
      <w:marRight w:val="0"/>
      <w:marTop w:val="0"/>
      <w:marBottom w:val="0"/>
      <w:divBdr>
        <w:top w:val="none" w:sz="0" w:space="0" w:color="auto"/>
        <w:left w:val="none" w:sz="0" w:space="0" w:color="auto"/>
        <w:bottom w:val="none" w:sz="0" w:space="0" w:color="auto"/>
        <w:right w:val="none" w:sz="0" w:space="0" w:color="auto"/>
      </w:divBdr>
    </w:div>
    <w:div w:id="1325275822">
      <w:bodyDiv w:val="1"/>
      <w:marLeft w:val="0"/>
      <w:marRight w:val="0"/>
      <w:marTop w:val="0"/>
      <w:marBottom w:val="0"/>
      <w:divBdr>
        <w:top w:val="none" w:sz="0" w:space="0" w:color="auto"/>
        <w:left w:val="none" w:sz="0" w:space="0" w:color="auto"/>
        <w:bottom w:val="none" w:sz="0" w:space="0" w:color="auto"/>
        <w:right w:val="none" w:sz="0" w:space="0" w:color="auto"/>
      </w:divBdr>
    </w:div>
    <w:div w:id="1329989166">
      <w:bodyDiv w:val="1"/>
      <w:marLeft w:val="0"/>
      <w:marRight w:val="0"/>
      <w:marTop w:val="0"/>
      <w:marBottom w:val="0"/>
      <w:divBdr>
        <w:top w:val="none" w:sz="0" w:space="0" w:color="auto"/>
        <w:left w:val="none" w:sz="0" w:space="0" w:color="auto"/>
        <w:bottom w:val="none" w:sz="0" w:space="0" w:color="auto"/>
        <w:right w:val="none" w:sz="0" w:space="0" w:color="auto"/>
      </w:divBdr>
    </w:div>
    <w:div w:id="1331909033">
      <w:bodyDiv w:val="1"/>
      <w:marLeft w:val="0"/>
      <w:marRight w:val="0"/>
      <w:marTop w:val="0"/>
      <w:marBottom w:val="0"/>
      <w:divBdr>
        <w:top w:val="none" w:sz="0" w:space="0" w:color="auto"/>
        <w:left w:val="none" w:sz="0" w:space="0" w:color="auto"/>
        <w:bottom w:val="none" w:sz="0" w:space="0" w:color="auto"/>
        <w:right w:val="none" w:sz="0" w:space="0" w:color="auto"/>
      </w:divBdr>
    </w:div>
    <w:div w:id="1354261174">
      <w:bodyDiv w:val="1"/>
      <w:marLeft w:val="0"/>
      <w:marRight w:val="0"/>
      <w:marTop w:val="0"/>
      <w:marBottom w:val="0"/>
      <w:divBdr>
        <w:top w:val="none" w:sz="0" w:space="0" w:color="auto"/>
        <w:left w:val="none" w:sz="0" w:space="0" w:color="auto"/>
        <w:bottom w:val="none" w:sz="0" w:space="0" w:color="auto"/>
        <w:right w:val="none" w:sz="0" w:space="0" w:color="auto"/>
      </w:divBdr>
    </w:div>
    <w:div w:id="1363677155">
      <w:bodyDiv w:val="1"/>
      <w:marLeft w:val="0"/>
      <w:marRight w:val="0"/>
      <w:marTop w:val="0"/>
      <w:marBottom w:val="0"/>
      <w:divBdr>
        <w:top w:val="none" w:sz="0" w:space="0" w:color="auto"/>
        <w:left w:val="none" w:sz="0" w:space="0" w:color="auto"/>
        <w:bottom w:val="none" w:sz="0" w:space="0" w:color="auto"/>
        <w:right w:val="none" w:sz="0" w:space="0" w:color="auto"/>
      </w:divBdr>
    </w:div>
    <w:div w:id="1379932577">
      <w:bodyDiv w:val="1"/>
      <w:marLeft w:val="0"/>
      <w:marRight w:val="0"/>
      <w:marTop w:val="0"/>
      <w:marBottom w:val="0"/>
      <w:divBdr>
        <w:top w:val="none" w:sz="0" w:space="0" w:color="auto"/>
        <w:left w:val="none" w:sz="0" w:space="0" w:color="auto"/>
        <w:bottom w:val="none" w:sz="0" w:space="0" w:color="auto"/>
        <w:right w:val="none" w:sz="0" w:space="0" w:color="auto"/>
      </w:divBdr>
    </w:div>
    <w:div w:id="1379941049">
      <w:bodyDiv w:val="1"/>
      <w:marLeft w:val="0"/>
      <w:marRight w:val="0"/>
      <w:marTop w:val="0"/>
      <w:marBottom w:val="0"/>
      <w:divBdr>
        <w:top w:val="none" w:sz="0" w:space="0" w:color="auto"/>
        <w:left w:val="none" w:sz="0" w:space="0" w:color="auto"/>
        <w:bottom w:val="none" w:sz="0" w:space="0" w:color="auto"/>
        <w:right w:val="none" w:sz="0" w:space="0" w:color="auto"/>
      </w:divBdr>
    </w:div>
    <w:div w:id="1428118704">
      <w:bodyDiv w:val="1"/>
      <w:marLeft w:val="0"/>
      <w:marRight w:val="0"/>
      <w:marTop w:val="0"/>
      <w:marBottom w:val="0"/>
      <w:divBdr>
        <w:top w:val="none" w:sz="0" w:space="0" w:color="auto"/>
        <w:left w:val="none" w:sz="0" w:space="0" w:color="auto"/>
        <w:bottom w:val="none" w:sz="0" w:space="0" w:color="auto"/>
        <w:right w:val="none" w:sz="0" w:space="0" w:color="auto"/>
      </w:divBdr>
    </w:div>
    <w:div w:id="1442262817">
      <w:bodyDiv w:val="1"/>
      <w:marLeft w:val="0"/>
      <w:marRight w:val="0"/>
      <w:marTop w:val="0"/>
      <w:marBottom w:val="0"/>
      <w:divBdr>
        <w:top w:val="none" w:sz="0" w:space="0" w:color="auto"/>
        <w:left w:val="none" w:sz="0" w:space="0" w:color="auto"/>
        <w:bottom w:val="none" w:sz="0" w:space="0" w:color="auto"/>
        <w:right w:val="none" w:sz="0" w:space="0" w:color="auto"/>
      </w:divBdr>
    </w:div>
    <w:div w:id="1513371356">
      <w:bodyDiv w:val="1"/>
      <w:marLeft w:val="0"/>
      <w:marRight w:val="0"/>
      <w:marTop w:val="0"/>
      <w:marBottom w:val="0"/>
      <w:divBdr>
        <w:top w:val="none" w:sz="0" w:space="0" w:color="auto"/>
        <w:left w:val="none" w:sz="0" w:space="0" w:color="auto"/>
        <w:bottom w:val="none" w:sz="0" w:space="0" w:color="auto"/>
        <w:right w:val="none" w:sz="0" w:space="0" w:color="auto"/>
      </w:divBdr>
    </w:div>
    <w:div w:id="1523013414">
      <w:bodyDiv w:val="1"/>
      <w:marLeft w:val="0"/>
      <w:marRight w:val="0"/>
      <w:marTop w:val="0"/>
      <w:marBottom w:val="0"/>
      <w:divBdr>
        <w:top w:val="none" w:sz="0" w:space="0" w:color="auto"/>
        <w:left w:val="none" w:sz="0" w:space="0" w:color="auto"/>
        <w:bottom w:val="none" w:sz="0" w:space="0" w:color="auto"/>
        <w:right w:val="none" w:sz="0" w:space="0" w:color="auto"/>
      </w:divBdr>
    </w:div>
    <w:div w:id="1534727440">
      <w:bodyDiv w:val="1"/>
      <w:marLeft w:val="0"/>
      <w:marRight w:val="0"/>
      <w:marTop w:val="0"/>
      <w:marBottom w:val="0"/>
      <w:divBdr>
        <w:top w:val="none" w:sz="0" w:space="0" w:color="auto"/>
        <w:left w:val="none" w:sz="0" w:space="0" w:color="auto"/>
        <w:bottom w:val="none" w:sz="0" w:space="0" w:color="auto"/>
        <w:right w:val="none" w:sz="0" w:space="0" w:color="auto"/>
      </w:divBdr>
    </w:div>
    <w:div w:id="1548177466">
      <w:bodyDiv w:val="1"/>
      <w:marLeft w:val="0"/>
      <w:marRight w:val="0"/>
      <w:marTop w:val="0"/>
      <w:marBottom w:val="0"/>
      <w:divBdr>
        <w:top w:val="none" w:sz="0" w:space="0" w:color="auto"/>
        <w:left w:val="none" w:sz="0" w:space="0" w:color="auto"/>
        <w:bottom w:val="none" w:sz="0" w:space="0" w:color="auto"/>
        <w:right w:val="none" w:sz="0" w:space="0" w:color="auto"/>
      </w:divBdr>
    </w:div>
    <w:div w:id="1656301199">
      <w:bodyDiv w:val="1"/>
      <w:marLeft w:val="0"/>
      <w:marRight w:val="0"/>
      <w:marTop w:val="0"/>
      <w:marBottom w:val="0"/>
      <w:divBdr>
        <w:top w:val="none" w:sz="0" w:space="0" w:color="auto"/>
        <w:left w:val="none" w:sz="0" w:space="0" w:color="auto"/>
        <w:bottom w:val="none" w:sz="0" w:space="0" w:color="auto"/>
        <w:right w:val="none" w:sz="0" w:space="0" w:color="auto"/>
      </w:divBdr>
    </w:div>
    <w:div w:id="1678538336">
      <w:bodyDiv w:val="1"/>
      <w:marLeft w:val="0"/>
      <w:marRight w:val="0"/>
      <w:marTop w:val="0"/>
      <w:marBottom w:val="0"/>
      <w:divBdr>
        <w:top w:val="none" w:sz="0" w:space="0" w:color="auto"/>
        <w:left w:val="none" w:sz="0" w:space="0" w:color="auto"/>
        <w:bottom w:val="none" w:sz="0" w:space="0" w:color="auto"/>
        <w:right w:val="none" w:sz="0" w:space="0" w:color="auto"/>
      </w:divBdr>
    </w:div>
    <w:div w:id="1683583375">
      <w:bodyDiv w:val="1"/>
      <w:marLeft w:val="0"/>
      <w:marRight w:val="0"/>
      <w:marTop w:val="0"/>
      <w:marBottom w:val="0"/>
      <w:divBdr>
        <w:top w:val="none" w:sz="0" w:space="0" w:color="auto"/>
        <w:left w:val="none" w:sz="0" w:space="0" w:color="auto"/>
        <w:bottom w:val="none" w:sz="0" w:space="0" w:color="auto"/>
        <w:right w:val="none" w:sz="0" w:space="0" w:color="auto"/>
      </w:divBdr>
    </w:div>
    <w:div w:id="1696225016">
      <w:bodyDiv w:val="1"/>
      <w:marLeft w:val="0"/>
      <w:marRight w:val="0"/>
      <w:marTop w:val="0"/>
      <w:marBottom w:val="0"/>
      <w:divBdr>
        <w:top w:val="none" w:sz="0" w:space="0" w:color="auto"/>
        <w:left w:val="none" w:sz="0" w:space="0" w:color="auto"/>
        <w:bottom w:val="none" w:sz="0" w:space="0" w:color="auto"/>
        <w:right w:val="none" w:sz="0" w:space="0" w:color="auto"/>
      </w:divBdr>
    </w:div>
    <w:div w:id="1725059474">
      <w:bodyDiv w:val="1"/>
      <w:marLeft w:val="0"/>
      <w:marRight w:val="0"/>
      <w:marTop w:val="0"/>
      <w:marBottom w:val="0"/>
      <w:divBdr>
        <w:top w:val="none" w:sz="0" w:space="0" w:color="auto"/>
        <w:left w:val="none" w:sz="0" w:space="0" w:color="auto"/>
        <w:bottom w:val="none" w:sz="0" w:space="0" w:color="auto"/>
        <w:right w:val="none" w:sz="0" w:space="0" w:color="auto"/>
      </w:divBdr>
    </w:div>
    <w:div w:id="1731339999">
      <w:bodyDiv w:val="1"/>
      <w:marLeft w:val="0"/>
      <w:marRight w:val="0"/>
      <w:marTop w:val="0"/>
      <w:marBottom w:val="0"/>
      <w:divBdr>
        <w:top w:val="none" w:sz="0" w:space="0" w:color="auto"/>
        <w:left w:val="none" w:sz="0" w:space="0" w:color="auto"/>
        <w:bottom w:val="none" w:sz="0" w:space="0" w:color="auto"/>
        <w:right w:val="none" w:sz="0" w:space="0" w:color="auto"/>
      </w:divBdr>
    </w:div>
    <w:div w:id="1741708182">
      <w:bodyDiv w:val="1"/>
      <w:marLeft w:val="0"/>
      <w:marRight w:val="0"/>
      <w:marTop w:val="0"/>
      <w:marBottom w:val="0"/>
      <w:divBdr>
        <w:top w:val="none" w:sz="0" w:space="0" w:color="auto"/>
        <w:left w:val="none" w:sz="0" w:space="0" w:color="auto"/>
        <w:bottom w:val="none" w:sz="0" w:space="0" w:color="auto"/>
        <w:right w:val="none" w:sz="0" w:space="0" w:color="auto"/>
      </w:divBdr>
    </w:div>
    <w:div w:id="1742755213">
      <w:bodyDiv w:val="1"/>
      <w:marLeft w:val="0"/>
      <w:marRight w:val="0"/>
      <w:marTop w:val="0"/>
      <w:marBottom w:val="0"/>
      <w:divBdr>
        <w:top w:val="none" w:sz="0" w:space="0" w:color="auto"/>
        <w:left w:val="none" w:sz="0" w:space="0" w:color="auto"/>
        <w:bottom w:val="none" w:sz="0" w:space="0" w:color="auto"/>
        <w:right w:val="none" w:sz="0" w:space="0" w:color="auto"/>
      </w:divBdr>
    </w:div>
    <w:div w:id="1780248751">
      <w:bodyDiv w:val="1"/>
      <w:marLeft w:val="0"/>
      <w:marRight w:val="0"/>
      <w:marTop w:val="0"/>
      <w:marBottom w:val="0"/>
      <w:divBdr>
        <w:top w:val="none" w:sz="0" w:space="0" w:color="auto"/>
        <w:left w:val="none" w:sz="0" w:space="0" w:color="auto"/>
        <w:bottom w:val="none" w:sz="0" w:space="0" w:color="auto"/>
        <w:right w:val="none" w:sz="0" w:space="0" w:color="auto"/>
      </w:divBdr>
    </w:div>
    <w:div w:id="1792935910">
      <w:bodyDiv w:val="1"/>
      <w:marLeft w:val="0"/>
      <w:marRight w:val="0"/>
      <w:marTop w:val="0"/>
      <w:marBottom w:val="0"/>
      <w:divBdr>
        <w:top w:val="none" w:sz="0" w:space="0" w:color="auto"/>
        <w:left w:val="none" w:sz="0" w:space="0" w:color="auto"/>
        <w:bottom w:val="none" w:sz="0" w:space="0" w:color="auto"/>
        <w:right w:val="none" w:sz="0" w:space="0" w:color="auto"/>
      </w:divBdr>
    </w:div>
    <w:div w:id="1795253868">
      <w:bodyDiv w:val="1"/>
      <w:marLeft w:val="0"/>
      <w:marRight w:val="0"/>
      <w:marTop w:val="0"/>
      <w:marBottom w:val="0"/>
      <w:divBdr>
        <w:top w:val="none" w:sz="0" w:space="0" w:color="auto"/>
        <w:left w:val="none" w:sz="0" w:space="0" w:color="auto"/>
        <w:bottom w:val="none" w:sz="0" w:space="0" w:color="auto"/>
        <w:right w:val="none" w:sz="0" w:space="0" w:color="auto"/>
      </w:divBdr>
    </w:div>
    <w:div w:id="1834104166">
      <w:bodyDiv w:val="1"/>
      <w:marLeft w:val="0"/>
      <w:marRight w:val="0"/>
      <w:marTop w:val="0"/>
      <w:marBottom w:val="0"/>
      <w:divBdr>
        <w:top w:val="none" w:sz="0" w:space="0" w:color="auto"/>
        <w:left w:val="none" w:sz="0" w:space="0" w:color="auto"/>
        <w:bottom w:val="none" w:sz="0" w:space="0" w:color="auto"/>
        <w:right w:val="none" w:sz="0" w:space="0" w:color="auto"/>
      </w:divBdr>
    </w:div>
    <w:div w:id="1841777152">
      <w:bodyDiv w:val="1"/>
      <w:marLeft w:val="0"/>
      <w:marRight w:val="0"/>
      <w:marTop w:val="0"/>
      <w:marBottom w:val="0"/>
      <w:divBdr>
        <w:top w:val="none" w:sz="0" w:space="0" w:color="auto"/>
        <w:left w:val="none" w:sz="0" w:space="0" w:color="auto"/>
        <w:bottom w:val="none" w:sz="0" w:space="0" w:color="auto"/>
        <w:right w:val="none" w:sz="0" w:space="0" w:color="auto"/>
      </w:divBdr>
    </w:div>
    <w:div w:id="1873566915">
      <w:bodyDiv w:val="1"/>
      <w:marLeft w:val="0"/>
      <w:marRight w:val="0"/>
      <w:marTop w:val="0"/>
      <w:marBottom w:val="0"/>
      <w:divBdr>
        <w:top w:val="none" w:sz="0" w:space="0" w:color="auto"/>
        <w:left w:val="none" w:sz="0" w:space="0" w:color="auto"/>
        <w:bottom w:val="none" w:sz="0" w:space="0" w:color="auto"/>
        <w:right w:val="none" w:sz="0" w:space="0" w:color="auto"/>
      </w:divBdr>
    </w:div>
    <w:div w:id="1899123346">
      <w:bodyDiv w:val="1"/>
      <w:marLeft w:val="0"/>
      <w:marRight w:val="0"/>
      <w:marTop w:val="0"/>
      <w:marBottom w:val="0"/>
      <w:divBdr>
        <w:top w:val="none" w:sz="0" w:space="0" w:color="auto"/>
        <w:left w:val="none" w:sz="0" w:space="0" w:color="auto"/>
        <w:bottom w:val="none" w:sz="0" w:space="0" w:color="auto"/>
        <w:right w:val="none" w:sz="0" w:space="0" w:color="auto"/>
      </w:divBdr>
    </w:div>
    <w:div w:id="1913613314">
      <w:bodyDiv w:val="1"/>
      <w:marLeft w:val="0"/>
      <w:marRight w:val="0"/>
      <w:marTop w:val="0"/>
      <w:marBottom w:val="0"/>
      <w:divBdr>
        <w:top w:val="none" w:sz="0" w:space="0" w:color="auto"/>
        <w:left w:val="none" w:sz="0" w:space="0" w:color="auto"/>
        <w:bottom w:val="none" w:sz="0" w:space="0" w:color="auto"/>
        <w:right w:val="none" w:sz="0" w:space="0" w:color="auto"/>
      </w:divBdr>
    </w:div>
    <w:div w:id="1943687857">
      <w:bodyDiv w:val="1"/>
      <w:marLeft w:val="0"/>
      <w:marRight w:val="0"/>
      <w:marTop w:val="0"/>
      <w:marBottom w:val="0"/>
      <w:divBdr>
        <w:top w:val="none" w:sz="0" w:space="0" w:color="auto"/>
        <w:left w:val="none" w:sz="0" w:space="0" w:color="auto"/>
        <w:bottom w:val="none" w:sz="0" w:space="0" w:color="auto"/>
        <w:right w:val="none" w:sz="0" w:space="0" w:color="auto"/>
      </w:divBdr>
    </w:div>
    <w:div w:id="1962491254">
      <w:bodyDiv w:val="1"/>
      <w:marLeft w:val="0"/>
      <w:marRight w:val="0"/>
      <w:marTop w:val="0"/>
      <w:marBottom w:val="0"/>
      <w:divBdr>
        <w:top w:val="none" w:sz="0" w:space="0" w:color="auto"/>
        <w:left w:val="none" w:sz="0" w:space="0" w:color="auto"/>
        <w:bottom w:val="none" w:sz="0" w:space="0" w:color="auto"/>
        <w:right w:val="none" w:sz="0" w:space="0" w:color="auto"/>
      </w:divBdr>
    </w:div>
    <w:div w:id="1964073724">
      <w:bodyDiv w:val="1"/>
      <w:marLeft w:val="0"/>
      <w:marRight w:val="0"/>
      <w:marTop w:val="0"/>
      <w:marBottom w:val="0"/>
      <w:divBdr>
        <w:top w:val="none" w:sz="0" w:space="0" w:color="auto"/>
        <w:left w:val="none" w:sz="0" w:space="0" w:color="auto"/>
        <w:bottom w:val="none" w:sz="0" w:space="0" w:color="auto"/>
        <w:right w:val="none" w:sz="0" w:space="0" w:color="auto"/>
      </w:divBdr>
    </w:div>
    <w:div w:id="1964458055">
      <w:bodyDiv w:val="1"/>
      <w:marLeft w:val="0"/>
      <w:marRight w:val="0"/>
      <w:marTop w:val="0"/>
      <w:marBottom w:val="0"/>
      <w:divBdr>
        <w:top w:val="none" w:sz="0" w:space="0" w:color="auto"/>
        <w:left w:val="none" w:sz="0" w:space="0" w:color="auto"/>
        <w:bottom w:val="none" w:sz="0" w:space="0" w:color="auto"/>
        <w:right w:val="none" w:sz="0" w:space="0" w:color="auto"/>
      </w:divBdr>
    </w:div>
    <w:div w:id="1991518815">
      <w:bodyDiv w:val="1"/>
      <w:marLeft w:val="0"/>
      <w:marRight w:val="0"/>
      <w:marTop w:val="0"/>
      <w:marBottom w:val="0"/>
      <w:divBdr>
        <w:top w:val="none" w:sz="0" w:space="0" w:color="auto"/>
        <w:left w:val="none" w:sz="0" w:space="0" w:color="auto"/>
        <w:bottom w:val="none" w:sz="0" w:space="0" w:color="auto"/>
        <w:right w:val="none" w:sz="0" w:space="0" w:color="auto"/>
      </w:divBdr>
    </w:div>
    <w:div w:id="2022969815">
      <w:bodyDiv w:val="1"/>
      <w:marLeft w:val="0"/>
      <w:marRight w:val="0"/>
      <w:marTop w:val="0"/>
      <w:marBottom w:val="0"/>
      <w:divBdr>
        <w:top w:val="none" w:sz="0" w:space="0" w:color="auto"/>
        <w:left w:val="none" w:sz="0" w:space="0" w:color="auto"/>
        <w:bottom w:val="none" w:sz="0" w:space="0" w:color="auto"/>
        <w:right w:val="none" w:sz="0" w:space="0" w:color="auto"/>
      </w:divBdr>
    </w:div>
    <w:div w:id="2080051796">
      <w:bodyDiv w:val="1"/>
      <w:marLeft w:val="0"/>
      <w:marRight w:val="0"/>
      <w:marTop w:val="0"/>
      <w:marBottom w:val="0"/>
      <w:divBdr>
        <w:top w:val="none" w:sz="0" w:space="0" w:color="auto"/>
        <w:left w:val="none" w:sz="0" w:space="0" w:color="auto"/>
        <w:bottom w:val="none" w:sz="0" w:space="0" w:color="auto"/>
        <w:right w:val="none" w:sz="0" w:space="0" w:color="auto"/>
      </w:divBdr>
    </w:div>
    <w:div w:id="2102870283">
      <w:bodyDiv w:val="1"/>
      <w:marLeft w:val="0"/>
      <w:marRight w:val="0"/>
      <w:marTop w:val="0"/>
      <w:marBottom w:val="0"/>
      <w:divBdr>
        <w:top w:val="none" w:sz="0" w:space="0" w:color="auto"/>
        <w:left w:val="none" w:sz="0" w:space="0" w:color="auto"/>
        <w:bottom w:val="none" w:sz="0" w:space="0" w:color="auto"/>
        <w:right w:val="none" w:sz="0" w:space="0" w:color="auto"/>
      </w:divBdr>
    </w:div>
    <w:div w:id="2103911700">
      <w:bodyDiv w:val="1"/>
      <w:marLeft w:val="0"/>
      <w:marRight w:val="0"/>
      <w:marTop w:val="0"/>
      <w:marBottom w:val="0"/>
      <w:divBdr>
        <w:top w:val="none" w:sz="0" w:space="0" w:color="auto"/>
        <w:left w:val="none" w:sz="0" w:space="0" w:color="auto"/>
        <w:bottom w:val="none" w:sz="0" w:space="0" w:color="auto"/>
        <w:right w:val="none" w:sz="0" w:space="0" w:color="auto"/>
      </w:divBdr>
    </w:div>
    <w:div w:id="21427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8ddc925-75d6-4761-96b6-1b97e4890734" ContentTypeId="0x01010045B0BEB1BCDC4B408D1662109AEB4638" PreviousValue="false"/>
</file>

<file path=customXml/item3.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a35139cd-9200-46da-a18b-3b82035d1cfc</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2018-11-12T20:23:40+00:00</Document_x0020_Date>
    <Document_x0020_No xmlns="4b47aac5-4c46-444f-8595-ce09b406fc61">44003</Document_x0020_No>
  </documentManagement>
</p:properties>
</file>

<file path=customXml/itemProps1.xml><?xml version="1.0" encoding="utf-8"?>
<ds:datastoreItem xmlns:ds="http://schemas.openxmlformats.org/officeDocument/2006/customXml" ds:itemID="{438D35A8-9397-4818-B4D1-D4307BD8BFD4}"/>
</file>

<file path=customXml/itemProps2.xml><?xml version="1.0" encoding="utf-8"?>
<ds:datastoreItem xmlns:ds="http://schemas.openxmlformats.org/officeDocument/2006/customXml" ds:itemID="{26CE663D-07B7-4AEF-8561-A4A109C210B7}"/>
</file>

<file path=customXml/itemProps3.xml><?xml version="1.0" encoding="utf-8"?>
<ds:datastoreItem xmlns:ds="http://schemas.openxmlformats.org/officeDocument/2006/customXml" ds:itemID="{D29327B9-0799-431F-9469-3CE1AFB62ADE}"/>
</file>

<file path=customXml/itemProps4.xml><?xml version="1.0" encoding="utf-8"?>
<ds:datastoreItem xmlns:ds="http://schemas.openxmlformats.org/officeDocument/2006/customXml" ds:itemID="{58F034F4-B4F0-4766-BB07-243C1EF264E7}"/>
</file>

<file path=customXml/itemProps5.xml><?xml version="1.0" encoding="utf-8"?>
<ds:datastoreItem xmlns:ds="http://schemas.openxmlformats.org/officeDocument/2006/customXml" ds:itemID="{5DEEFE59-9D7D-4DD3-8B7F-C358093C888E}"/>
</file>

<file path=docProps/app.xml><?xml version="1.0" encoding="utf-8"?>
<Properties xmlns="http://schemas.openxmlformats.org/officeDocument/2006/extended-properties" xmlns:vt="http://schemas.openxmlformats.org/officeDocument/2006/docPropsVTypes">
  <Template>Normal</Template>
  <TotalTime>1</TotalTime>
  <Pages>33</Pages>
  <Words>12332</Words>
  <Characters>70294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Nasdaq Omx Inc.</Company>
  <LinksUpToDate>false</LinksUpToDate>
  <CharactersWithSpaces>82462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Shari Bradford</dc:creator>
  <cp:keywords/>
  <dc:description/>
  <cp:lastModifiedBy>Aravind Menon</cp:lastModifiedBy>
  <cp:revision>2</cp:revision>
  <dcterms:created xsi:type="dcterms:W3CDTF">2018-11-12T19:21:00Z</dcterms:created>
  <dcterms:modified xsi:type="dcterms:W3CDTF">2018-11-12T19:21:00Z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6326700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