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63c7a29e-b8cc-4712-80ab-fe852f244a96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2018-11-12T20:33:10+00:00</Document_x0020_Date>
    <Document_x0020_No xmlns="4b47aac5-4c46-444f-8595-ce09b406fc61">44069</Document_x0020_No>
  </documentManagement>
</p:properties>
</file>

<file path=customXml/itemProps1.xml><?xml version="1.0" encoding="utf-8"?>
<ds:datastoreItem xmlns:ds="http://schemas.openxmlformats.org/officeDocument/2006/customXml" ds:itemID="{FA2897C5-CC4D-4DA6-8651-E0F270A6EC93}"/>
</file>

<file path=customXml/itemProps2.xml><?xml version="1.0" encoding="utf-8"?>
<ds:datastoreItem xmlns:ds="http://schemas.openxmlformats.org/officeDocument/2006/customXml" ds:itemID="{3B5BD716-A832-46B7-AA6F-C2B09EAE7F05}"/>
</file>

<file path=customXml/itemProps3.xml><?xml version="1.0" encoding="utf-8"?>
<ds:datastoreItem xmlns:ds="http://schemas.openxmlformats.org/officeDocument/2006/customXml" ds:itemID="{A4C2B560-A833-4ACB-B57B-0F6EAAE1D574}"/>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BD511BEF-6263-46AB-BF77-08587AEFE7CF}"/>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