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B" w:rsidRPr="00A248E8" w:rsidRDefault="000959AB" w:rsidP="000959AB">
      <w:pPr>
        <w:spacing w:before="150" w:after="15" w:line="240" w:lineRule="auto"/>
        <w:jc w:val="center"/>
        <w:outlineLvl w:val="3"/>
        <w:rPr>
          <w:rFonts w:ascii="Times New Roman" w:eastAsia="Times New Roman" w:hAnsi="Times New Roman" w:cs="Times New Roman"/>
          <w:b/>
          <w:bCs/>
          <w:sz w:val="24"/>
          <w:szCs w:val="24"/>
          <w:u w:val="single"/>
        </w:rPr>
      </w:pPr>
      <w:r w:rsidRPr="00A248E8">
        <w:rPr>
          <w:rFonts w:ascii="Times New Roman" w:eastAsia="Times New Roman" w:hAnsi="Times New Roman" w:cs="Times New Roman"/>
          <w:b/>
          <w:bCs/>
          <w:sz w:val="24"/>
          <w:szCs w:val="24"/>
          <w:u w:val="single"/>
        </w:rPr>
        <w:t>Exhibit A to SR-NFX-2018</w:t>
      </w:r>
      <w:r w:rsidR="002C1D81" w:rsidRPr="00A248E8">
        <w:rPr>
          <w:rFonts w:ascii="Times New Roman" w:eastAsia="Times New Roman" w:hAnsi="Times New Roman" w:cs="Times New Roman"/>
          <w:b/>
          <w:bCs/>
          <w:sz w:val="24"/>
          <w:szCs w:val="24"/>
          <w:u w:val="single"/>
        </w:rPr>
        <w:t>-51</w:t>
      </w:r>
    </w:p>
    <w:p w:rsidR="000959AB" w:rsidRPr="00A248E8" w:rsidRDefault="000959AB" w:rsidP="000959AB">
      <w:pPr>
        <w:spacing w:before="150" w:after="15" w:line="240" w:lineRule="auto"/>
        <w:outlineLvl w:val="3"/>
        <w:rPr>
          <w:rFonts w:ascii="Times New Roman" w:eastAsia="Times New Roman" w:hAnsi="Times New Roman" w:cs="Times New Roman"/>
          <w:bCs/>
          <w:sz w:val="24"/>
          <w:szCs w:val="24"/>
        </w:rPr>
      </w:pPr>
    </w:p>
    <w:p w:rsidR="000959AB" w:rsidRPr="00A248E8" w:rsidRDefault="000959AB" w:rsidP="000959AB">
      <w:pPr>
        <w:spacing w:line="240" w:lineRule="auto"/>
        <w:rPr>
          <w:rFonts w:ascii="Times New Roman" w:hAnsi="Times New Roman" w:cs="Times New Roman"/>
          <w:sz w:val="24"/>
          <w:szCs w:val="24"/>
        </w:rPr>
      </w:pPr>
      <w:r w:rsidRPr="00A248E8">
        <w:rPr>
          <w:rFonts w:ascii="Times New Roman" w:hAnsi="Times New Roman" w:cs="Times New Roman"/>
          <w:sz w:val="24"/>
          <w:szCs w:val="24"/>
        </w:rPr>
        <w:t xml:space="preserve">New language is </w:t>
      </w:r>
      <w:r w:rsidRPr="00A248E8">
        <w:rPr>
          <w:rFonts w:ascii="Times New Roman" w:hAnsi="Times New Roman" w:cs="Times New Roman"/>
          <w:sz w:val="24"/>
          <w:szCs w:val="24"/>
          <w:u w:val="single"/>
        </w:rPr>
        <w:t>underlined</w:t>
      </w:r>
      <w:r w:rsidRPr="00A248E8">
        <w:rPr>
          <w:rFonts w:ascii="Times New Roman" w:hAnsi="Times New Roman" w:cs="Times New Roman"/>
          <w:sz w:val="24"/>
          <w:szCs w:val="24"/>
        </w:rPr>
        <w:t>.</w:t>
      </w:r>
    </w:p>
    <w:p w:rsidR="000959AB" w:rsidRPr="00A248E8" w:rsidRDefault="000959AB" w:rsidP="000959AB">
      <w:pPr>
        <w:spacing w:before="100" w:beforeAutospacing="1" w:after="100" w:afterAutospacing="1" w:line="240" w:lineRule="auto"/>
        <w:outlineLvl w:val="2"/>
        <w:rPr>
          <w:rFonts w:ascii="Times New Roman" w:eastAsia="Times New Roman" w:hAnsi="Times New Roman" w:cs="Times New Roman"/>
          <w:b/>
          <w:bCs/>
          <w:sz w:val="24"/>
          <w:szCs w:val="24"/>
        </w:rPr>
      </w:pPr>
      <w:r w:rsidRPr="00A248E8">
        <w:rPr>
          <w:rFonts w:ascii="Times New Roman" w:eastAsia="Times New Roman" w:hAnsi="Times New Roman" w:cs="Times New Roman"/>
          <w:b/>
          <w:bCs/>
          <w:sz w:val="24"/>
          <w:szCs w:val="24"/>
        </w:rPr>
        <w:t>Rulebook Appendix A - Listed Contracts</w:t>
      </w:r>
    </w:p>
    <w:p w:rsidR="000959AB" w:rsidRPr="00A248E8" w:rsidRDefault="000959AB" w:rsidP="000959AB">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A248E8">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9B3CF2" w:rsidRPr="00A248E8" w:rsidTr="000F299C">
        <w:tc>
          <w:tcPr>
            <w:tcW w:w="1390" w:type="dxa"/>
          </w:tcPr>
          <w:p w:rsidR="000959AB" w:rsidRPr="00A248E8" w:rsidRDefault="000959AB" w:rsidP="000959AB">
            <w:pPr>
              <w:spacing w:after="0" w:line="240" w:lineRule="auto"/>
              <w:jc w:val="both"/>
              <w:rPr>
                <w:b/>
                <w:sz w:val="24"/>
                <w:szCs w:val="24"/>
              </w:rPr>
            </w:pPr>
            <w:r w:rsidRPr="00A248E8">
              <w:rPr>
                <w:b/>
                <w:sz w:val="24"/>
                <w:szCs w:val="24"/>
              </w:rPr>
              <w:t>CHAPTER</w:t>
            </w:r>
          </w:p>
        </w:tc>
        <w:tc>
          <w:tcPr>
            <w:tcW w:w="8032" w:type="dxa"/>
          </w:tcPr>
          <w:p w:rsidR="000959AB" w:rsidRPr="00A248E8" w:rsidRDefault="000959AB" w:rsidP="000959AB">
            <w:pPr>
              <w:spacing w:after="0" w:line="240" w:lineRule="auto"/>
              <w:jc w:val="center"/>
              <w:rPr>
                <w:b/>
                <w:sz w:val="24"/>
                <w:szCs w:val="24"/>
              </w:rPr>
            </w:pPr>
            <w:r w:rsidRPr="00A248E8">
              <w:rPr>
                <w:b/>
                <w:sz w:val="24"/>
                <w:szCs w:val="24"/>
              </w:rPr>
              <w:t>PRODUCT NAME AND SYMBOL</w:t>
            </w: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p>
        </w:tc>
      </w:tr>
      <w:tr w:rsidR="009B3CF2" w:rsidRPr="00A248E8" w:rsidTr="000F299C">
        <w:tc>
          <w:tcPr>
            <w:tcW w:w="1390" w:type="dxa"/>
          </w:tcPr>
          <w:p w:rsidR="000959AB" w:rsidRPr="00A248E8" w:rsidRDefault="000959AB" w:rsidP="000959AB">
            <w:pPr>
              <w:spacing w:after="0" w:line="240" w:lineRule="auto"/>
              <w:jc w:val="both"/>
              <w:rPr>
                <w:b/>
                <w:sz w:val="24"/>
                <w:szCs w:val="24"/>
              </w:rPr>
            </w:pPr>
          </w:p>
        </w:tc>
        <w:tc>
          <w:tcPr>
            <w:tcW w:w="8032" w:type="dxa"/>
          </w:tcPr>
          <w:p w:rsidR="000959AB" w:rsidRPr="00A248E8" w:rsidRDefault="000959AB" w:rsidP="000959AB">
            <w:pPr>
              <w:spacing w:after="0" w:line="240" w:lineRule="auto"/>
              <w:jc w:val="both"/>
              <w:rPr>
                <w:b/>
                <w:sz w:val="24"/>
                <w:szCs w:val="24"/>
              </w:rPr>
            </w:pPr>
            <w:r w:rsidRPr="00A248E8">
              <w:rPr>
                <w:b/>
                <w:sz w:val="24"/>
                <w:szCs w:val="24"/>
              </w:rPr>
              <w:t xml:space="preserve">OIL AND REFINED PRODUCTS </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135</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Basis Futures (NC5)</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136</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Condensate (C5) Financial Futures (CCFQ)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137</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Basis Futures (NSW)</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138</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Sweet Crude Oil Financial Futures (CSWQ)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139</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Light Sour Blend Crude Oil Basis Futures (NSR)</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140</w:t>
            </w:r>
          </w:p>
        </w:tc>
        <w:tc>
          <w:tcPr>
            <w:tcW w:w="8032" w:type="dxa"/>
          </w:tcPr>
          <w:p w:rsidR="000959AB" w:rsidRPr="00A248E8" w:rsidRDefault="000959AB" w:rsidP="000959AB">
            <w:pPr>
              <w:spacing w:after="0" w:line="240" w:lineRule="auto"/>
              <w:jc w:val="both"/>
              <w:rPr>
                <w:sz w:val="24"/>
                <w:szCs w:val="24"/>
                <w:u w:val="single"/>
              </w:rPr>
            </w:pPr>
            <w:r w:rsidRPr="00A248E8">
              <w:rPr>
                <w:sz w:val="24"/>
                <w:szCs w:val="24"/>
                <w:u w:val="single"/>
              </w:rPr>
              <w:t>NFX (C.C.I.) Canadian Light Sour Blend Crude Oil Financial Futures (CSDQ)</w:t>
            </w:r>
          </w:p>
        </w:tc>
      </w:tr>
      <w:tr w:rsidR="009B3CF2" w:rsidRPr="00A248E8" w:rsidTr="000F299C">
        <w:tc>
          <w:tcPr>
            <w:tcW w:w="1390" w:type="dxa"/>
          </w:tcPr>
          <w:p w:rsidR="000959AB" w:rsidRPr="00A248E8" w:rsidRDefault="000959AB" w:rsidP="000959AB">
            <w:pPr>
              <w:spacing w:after="0" w:line="240" w:lineRule="auto"/>
              <w:jc w:val="both"/>
              <w:rPr>
                <w:sz w:val="24"/>
                <w:szCs w:val="24"/>
                <w:u w:val="single"/>
              </w:rPr>
            </w:pPr>
            <w:r w:rsidRPr="00A248E8">
              <w:rPr>
                <w:bCs/>
                <w:sz w:val="24"/>
                <w:szCs w:val="24"/>
                <w:u w:val="single"/>
              </w:rPr>
              <w:t>141</w:t>
            </w:r>
          </w:p>
        </w:tc>
        <w:tc>
          <w:tcPr>
            <w:tcW w:w="8032" w:type="dxa"/>
          </w:tcPr>
          <w:p w:rsidR="000959AB" w:rsidRPr="00A248E8" w:rsidRDefault="000959AB" w:rsidP="000959AB">
            <w:pPr>
              <w:spacing w:after="0" w:line="240" w:lineRule="auto"/>
              <w:jc w:val="both"/>
              <w:rPr>
                <w:b/>
                <w:sz w:val="24"/>
                <w:szCs w:val="24"/>
                <w:u w:val="single"/>
              </w:rPr>
            </w:pPr>
            <w:r w:rsidRPr="00A248E8">
              <w:rPr>
                <w:sz w:val="24"/>
                <w:szCs w:val="24"/>
                <w:u w:val="single"/>
              </w:rPr>
              <w:t>NFX (C.C.I.) Canadian Synthetic Sweet Crude Oil Basis Futures (NSP)</w:t>
            </w:r>
          </w:p>
        </w:tc>
      </w:tr>
      <w:tr w:rsidR="009B3CF2" w:rsidRPr="00A248E8" w:rsidTr="000F299C">
        <w:trPr>
          <w:trHeight w:val="332"/>
        </w:trPr>
        <w:tc>
          <w:tcPr>
            <w:tcW w:w="1390" w:type="dxa"/>
            <w:hideMark/>
          </w:tcPr>
          <w:p w:rsidR="000959AB" w:rsidRPr="00A248E8" w:rsidRDefault="000959AB" w:rsidP="000959AB">
            <w:pPr>
              <w:spacing w:after="0" w:line="240" w:lineRule="auto"/>
              <w:jc w:val="both"/>
              <w:rPr>
                <w:bCs/>
                <w:sz w:val="24"/>
                <w:szCs w:val="24"/>
                <w:u w:val="single"/>
              </w:rPr>
            </w:pPr>
            <w:r w:rsidRPr="00A248E8">
              <w:rPr>
                <w:bCs/>
                <w:sz w:val="24"/>
                <w:szCs w:val="24"/>
                <w:u w:val="single"/>
              </w:rPr>
              <w:t>142</w:t>
            </w:r>
          </w:p>
        </w:tc>
        <w:tc>
          <w:tcPr>
            <w:tcW w:w="8032" w:type="dxa"/>
            <w:noWrap/>
            <w:hideMark/>
          </w:tcPr>
          <w:p w:rsidR="000959AB" w:rsidRPr="00A248E8" w:rsidRDefault="000959AB" w:rsidP="000959AB">
            <w:pPr>
              <w:spacing w:after="0" w:line="240" w:lineRule="auto"/>
              <w:jc w:val="both"/>
              <w:rPr>
                <w:sz w:val="24"/>
                <w:szCs w:val="24"/>
                <w:u w:val="single"/>
              </w:rPr>
            </w:pPr>
            <w:r w:rsidRPr="00A248E8">
              <w:rPr>
                <w:sz w:val="24"/>
                <w:szCs w:val="24"/>
                <w:u w:val="single"/>
              </w:rPr>
              <w:t>NFX (C.C.I.) Canadian Synthetic Sweet Crude Oil Financial Futures (CSNQ)</w:t>
            </w:r>
          </w:p>
        </w:tc>
      </w:tr>
      <w:tr w:rsidR="009B3CF2" w:rsidRPr="00A248E8" w:rsidTr="000F299C">
        <w:trPr>
          <w:trHeight w:val="341"/>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143</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Basis Futures (NWC)</w:t>
            </w:r>
          </w:p>
        </w:tc>
      </w:tr>
      <w:tr w:rsidR="009B3CF2" w:rsidRPr="00A248E8" w:rsidTr="000F299C">
        <w:trPr>
          <w:trHeight w:val="359"/>
        </w:trPr>
        <w:tc>
          <w:tcPr>
            <w:tcW w:w="1390" w:type="dxa"/>
            <w:hideMark/>
          </w:tcPr>
          <w:p w:rsidR="000959AB" w:rsidRPr="00A248E8" w:rsidRDefault="000959AB" w:rsidP="000959AB">
            <w:pPr>
              <w:spacing w:after="0" w:line="240" w:lineRule="auto"/>
              <w:rPr>
                <w:bCs/>
                <w:sz w:val="24"/>
                <w:szCs w:val="24"/>
                <w:u w:val="single"/>
              </w:rPr>
            </w:pPr>
            <w:r w:rsidRPr="00A248E8">
              <w:rPr>
                <w:bCs/>
                <w:sz w:val="24"/>
                <w:szCs w:val="24"/>
                <w:u w:val="single"/>
              </w:rPr>
              <w:t>144</w:t>
            </w:r>
          </w:p>
        </w:tc>
        <w:tc>
          <w:tcPr>
            <w:tcW w:w="8032" w:type="dxa"/>
            <w:noWrap/>
            <w:hideMark/>
          </w:tcPr>
          <w:p w:rsidR="000959AB" w:rsidRPr="00A248E8" w:rsidRDefault="000959AB" w:rsidP="000959AB">
            <w:pPr>
              <w:spacing w:after="0" w:line="240" w:lineRule="auto"/>
              <w:rPr>
                <w:sz w:val="24"/>
                <w:szCs w:val="24"/>
                <w:u w:val="single"/>
              </w:rPr>
            </w:pPr>
            <w:r w:rsidRPr="00A248E8">
              <w:rPr>
                <w:sz w:val="24"/>
                <w:szCs w:val="24"/>
                <w:u w:val="single"/>
              </w:rPr>
              <w:t>NFX (C.C.I.) Western Canadian Select Crude Oil Financial Futures (CHYQ)</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NATURAL GAR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POWER CONTRACTS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PETROCHEMICLE PRODUCTS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FERROUS METALS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TANKER FREIGHT – No Change</w:t>
            </w: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DRY FREIGHT – No Change</w:t>
            </w:r>
          </w:p>
        </w:tc>
      </w:tr>
      <w:tr w:rsidR="009B3CF2" w:rsidRPr="00A248E8" w:rsidTr="000F299C">
        <w:trPr>
          <w:trHeight w:val="431"/>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sz w:val="24"/>
                <w:szCs w:val="24"/>
              </w:rPr>
            </w:pPr>
          </w:p>
        </w:tc>
      </w:tr>
      <w:tr w:rsidR="009B3CF2" w:rsidRPr="00A248E8" w:rsidTr="000F299C">
        <w:trPr>
          <w:trHeight w:val="359"/>
        </w:trPr>
        <w:tc>
          <w:tcPr>
            <w:tcW w:w="1390" w:type="dxa"/>
          </w:tcPr>
          <w:p w:rsidR="000959AB" w:rsidRPr="00A248E8" w:rsidRDefault="000959AB" w:rsidP="000959AB">
            <w:pPr>
              <w:spacing w:after="0" w:line="240" w:lineRule="auto"/>
              <w:rPr>
                <w:b/>
                <w:bCs/>
                <w:sz w:val="24"/>
                <w:szCs w:val="24"/>
              </w:rPr>
            </w:pPr>
          </w:p>
        </w:tc>
        <w:tc>
          <w:tcPr>
            <w:tcW w:w="8032" w:type="dxa"/>
            <w:noWrap/>
          </w:tcPr>
          <w:p w:rsidR="000959AB" w:rsidRPr="00A248E8" w:rsidRDefault="000959AB" w:rsidP="000959AB">
            <w:pPr>
              <w:spacing w:after="0" w:line="240" w:lineRule="auto"/>
              <w:rPr>
                <w:b/>
                <w:sz w:val="24"/>
                <w:szCs w:val="24"/>
              </w:rPr>
            </w:pPr>
            <w:r w:rsidRPr="00A248E8">
              <w:rPr>
                <w:b/>
                <w:sz w:val="24"/>
                <w:szCs w:val="24"/>
              </w:rPr>
              <w:t>TREASURY FUTURES – No Change</w:t>
            </w:r>
          </w:p>
        </w:tc>
      </w:tr>
    </w:tbl>
    <w:p w:rsidR="000959AB" w:rsidRPr="00A248E8" w:rsidRDefault="000959AB" w:rsidP="000959AB">
      <w:pPr>
        <w:spacing w:line="240" w:lineRule="auto"/>
        <w:rPr>
          <w:rFonts w:ascii="Times New Roman" w:hAnsi="Times New Roman" w:cs="Times New Roman"/>
          <w:sz w:val="24"/>
          <w:szCs w:val="24"/>
        </w:rPr>
      </w:pPr>
    </w:p>
    <w:p w:rsidR="000959AB" w:rsidRPr="00A248E8" w:rsidRDefault="000959AB" w:rsidP="000959AB">
      <w:pPr>
        <w:spacing w:line="240" w:lineRule="auto"/>
        <w:jc w:val="center"/>
        <w:rPr>
          <w:rFonts w:ascii="Times New Roman" w:hAnsi="Times New Roman" w:cs="Times New Roman"/>
          <w:sz w:val="24"/>
          <w:szCs w:val="24"/>
        </w:rPr>
      </w:pPr>
      <w:r w:rsidRPr="00A248E8">
        <w:rPr>
          <w:rFonts w:ascii="Times New Roman" w:hAnsi="Times New Roman" w:cs="Times New Roman"/>
          <w:sz w:val="24"/>
          <w:szCs w:val="24"/>
        </w:rPr>
        <w:t>*****</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135</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Condensate (C5) Basis Futures (NC5)</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2750" w:rsidRPr="00A248E8">
        <w:rPr>
          <w:rFonts w:ascii="Times New Roman" w:hAnsi="Times New Roman" w:cs="Times New Roman"/>
          <w:sz w:val="24"/>
          <w:szCs w:val="24"/>
          <w:u w:val="single"/>
        </w:rPr>
        <w:t>, Inc</w:t>
      </w:r>
      <w:r w:rsidRPr="00A248E8">
        <w:rPr>
          <w:rFonts w:ascii="Times New Roman" w:hAnsi="Times New Roman" w:cs="Times New Roman"/>
          <w:sz w:val="24"/>
          <w:szCs w:val="24"/>
          <w:u w:val="single"/>
        </w:rPr>
        <w:t>. The NOS date occurs on or about the 20th calendar day of the month at 2:30 ET. Trading ceases at 2:30 PM EPT on the last trading day.</w:t>
      </w:r>
      <w:r w:rsidR="00A22750" w:rsidRPr="00A248E8">
        <w:rPr>
          <w:rFonts w:ascii="Times New Roman" w:hAnsi="Times New Roman" w:cs="Times New Roman"/>
          <w:sz w:val="24"/>
          <w:szCs w:val="24"/>
          <w:u w:val="single"/>
        </w:rPr>
        <w:t xml:space="preserve">  </w:t>
      </w:r>
      <w:r w:rsidR="00A22750"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Condensate (C5)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135</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$1.000 above and $1.000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135</w:t>
      </w:r>
      <w:r w:rsidRPr="00A248E8">
        <w:rPr>
          <w:rFonts w:ascii="Times New Roman" w:hAnsi="Times New Roman" w:cs="Times New Roman"/>
          <w:b/>
          <w:sz w:val="24"/>
          <w:szCs w:val="24"/>
          <w:u w:val="single"/>
        </w:rPr>
        <w:t>.10 Non-Reviewable Range</w:t>
      </w:r>
    </w:p>
    <w:p w:rsid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A248E8" w:rsidP="003D77AB">
      <w:pPr>
        <w:keepNext/>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w:t>
      </w:r>
      <w:r w:rsidR="007E5DBE" w:rsidRPr="00A248E8">
        <w:rPr>
          <w:rFonts w:ascii="Times New Roman" w:eastAsia="Times New Roman" w:hAnsi="Times New Roman" w:cs="Times New Roman"/>
          <w:b/>
          <w:sz w:val="24"/>
          <w:szCs w:val="24"/>
          <w:u w:val="single"/>
        </w:rPr>
        <w:t xml:space="preserve">hapter </w:t>
      </w:r>
      <w:r w:rsidR="007E5DBE" w:rsidRPr="00A248E8">
        <w:rPr>
          <w:rFonts w:ascii="Times New Roman" w:eastAsia="Times New Roman" w:hAnsi="Times New Roman" w:cs="Times New Roman"/>
          <w:b/>
          <w:noProof/>
          <w:sz w:val="24"/>
          <w:szCs w:val="24"/>
          <w:u w:val="single"/>
        </w:rPr>
        <w:t>136</w:t>
      </w:r>
      <w:r w:rsidR="007E5DBE" w:rsidRPr="00A248E8">
        <w:rPr>
          <w:rFonts w:ascii="Times New Roman" w:eastAsia="Times New Roman" w:hAnsi="Times New Roman" w:cs="Times New Roman"/>
          <w:b/>
          <w:sz w:val="24"/>
          <w:szCs w:val="24"/>
          <w:u w:val="single"/>
        </w:rPr>
        <w:t xml:space="preserve"> </w:t>
      </w:r>
      <w:r w:rsidR="007E5DBE" w:rsidRPr="00A248E8">
        <w:rPr>
          <w:rFonts w:ascii="Times New Roman" w:eastAsia="Times New Roman" w:hAnsi="Times New Roman" w:cs="Times New Roman"/>
          <w:b/>
          <w:noProof/>
          <w:sz w:val="24"/>
          <w:szCs w:val="24"/>
          <w:u w:val="single"/>
        </w:rPr>
        <w:t>NFX (C.C.I.) Canadian Condensate (C5) Financial Futures (CCFQ)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Condensate (C5)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136</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137</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Basis Futures (NSW)</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the basis differential between the final Canadian Light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137</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137</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138</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Sweet Crude Oil Financial Futures (CSWQ)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Canadian Light Sweet Crude Oil Index (C.C.I.)</w:t>
      </w:r>
      <w:r w:rsidR="00644EF7" w:rsidRPr="00A248E8">
        <w:rPr>
          <w:rFonts w:ascii="Times New Roman" w:hAnsi="Times New Roman" w:cs="Times New Roman"/>
          <w:noProof/>
          <w:sz w:val="24"/>
          <w:szCs w:val="24"/>
          <w:u w:val="single"/>
        </w:rPr>
        <w:t xml:space="preserve"> </w:t>
      </w:r>
      <w:r w:rsidRPr="00A248E8">
        <w:rPr>
          <w:rFonts w:ascii="Times New Roman" w:hAnsi="Times New Roman" w:cs="Times New Roman"/>
          <w:noProof/>
          <w:sz w:val="24"/>
          <w:szCs w:val="24"/>
          <w:u w:val="single"/>
        </w:rPr>
        <w:t xml:space="preserve">on the last Canadian business day prior to the Notice of Shipment (NOS) date. The index pricing period for each contract month begins on the first Canadian business day of the calendar month prior to the </w:t>
      </w:r>
      <w:r w:rsidRPr="00A248E8">
        <w:rPr>
          <w:rFonts w:ascii="Times New Roman" w:hAnsi="Times New Roman" w:cs="Times New Roman"/>
          <w:noProof/>
          <w:sz w:val="24"/>
          <w:szCs w:val="24"/>
          <w:u w:val="single"/>
        </w:rPr>
        <w:lastRenderedPageBreak/>
        <w:t>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644EF7"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138</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139</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Basis Futures (NSR)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139</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 xml:space="preserve">Sour </w:t>
      </w:r>
      <w:r w:rsidR="005175A2" w:rsidRPr="00A248E8">
        <w:rPr>
          <w:rFonts w:ascii="Times New Roman" w:hAnsi="Times New Roman" w:cs="Times New Roman"/>
          <w:noProof/>
          <w:sz w:val="24"/>
          <w:szCs w:val="24"/>
          <w:u w:val="single"/>
        </w:rPr>
        <w:t xml:space="preserve">Blend </w:t>
      </w:r>
      <w:r w:rsidRPr="00A248E8">
        <w:rPr>
          <w:rFonts w:ascii="Times New Roman" w:hAnsi="Times New Roman" w:cs="Times New Roman"/>
          <w:noProof/>
          <w:sz w:val="24"/>
          <w:szCs w:val="24"/>
          <w:u w:val="single"/>
        </w:rPr>
        <w:t>Crude</w:t>
      </w:r>
      <w:r w:rsidR="005175A2" w:rsidRPr="00A248E8">
        <w:rPr>
          <w:rFonts w:ascii="Times New Roman" w:hAnsi="Times New Roman" w:cs="Times New Roman"/>
          <w:noProof/>
          <w:sz w:val="24"/>
          <w:szCs w:val="24"/>
          <w:u w:val="single"/>
        </w:rPr>
        <w:t xml:space="preserve"> Oil</w:t>
      </w:r>
      <w:r w:rsidRPr="00A248E8">
        <w:rPr>
          <w:rFonts w:ascii="Times New Roman" w:hAnsi="Times New Roman" w:cs="Times New Roman"/>
          <w:noProof/>
          <w:sz w:val="24"/>
          <w:szCs w:val="24"/>
          <w:u w:val="single"/>
        </w:rPr>
        <w:t xml:space="preserve">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139</w:t>
      </w:r>
      <w:r w:rsidRPr="00A248E8">
        <w:rPr>
          <w:rFonts w:ascii="Times New Roman" w:hAnsi="Times New Roman" w:cs="Times New Roman"/>
          <w:b/>
          <w:sz w:val="24"/>
          <w:szCs w:val="24"/>
          <w:u w:val="single"/>
        </w:rPr>
        <w:t>.10 Non-Reviewable Range</w:t>
      </w:r>
    </w:p>
    <w:p w:rsidR="007E5DBE" w:rsidRPr="00A248E8" w:rsidRDefault="007E5DBE" w:rsidP="003D77AB">
      <w:pPr>
        <w:spacing w:after="240" w:line="240" w:lineRule="auto"/>
        <w:rPr>
          <w:rFonts w:ascii="Times New Roman" w:hAnsi="Times New Roman" w:cs="Times New Roman"/>
          <w:sz w:val="24"/>
          <w:szCs w:val="24"/>
          <w:u w:val="single"/>
        </w:rPr>
        <w:sectPr w:rsidR="007E5DBE" w:rsidRPr="00A248E8">
          <w:headerReference w:type="default" r:id="rId11"/>
          <w:pgSz w:w="12240" w:h="15840"/>
          <w:pgMar w:top="1440" w:right="1440" w:bottom="1440" w:left="1440" w:header="720" w:footer="720" w:gutter="0"/>
          <w:cols w:space="720"/>
          <w:docGrid w:linePitch="360"/>
        </w:sect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lastRenderedPageBreak/>
        <w:t xml:space="preserve">Chapter </w:t>
      </w:r>
      <w:r w:rsidRPr="00A248E8">
        <w:rPr>
          <w:rFonts w:ascii="Times New Roman" w:eastAsia="Times New Roman" w:hAnsi="Times New Roman" w:cs="Times New Roman"/>
          <w:b/>
          <w:noProof/>
          <w:sz w:val="24"/>
          <w:szCs w:val="24"/>
          <w:u w:val="single"/>
        </w:rPr>
        <w:t>140</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Light Sour Blend Crude Oil Financial Futures (CSDQ)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Light </w:t>
      </w:r>
      <w:r w:rsidRPr="00A248E8">
        <w:rPr>
          <w:rFonts w:ascii="Times New Roman" w:hAnsi="Times New Roman" w:cs="Times New Roman"/>
          <w:noProof/>
          <w:sz w:val="24"/>
          <w:szCs w:val="24"/>
          <w:u w:val="single"/>
        </w:rPr>
        <w:t>Sour</w:t>
      </w:r>
      <w:r w:rsidR="005175A2" w:rsidRPr="00A248E8">
        <w:rPr>
          <w:rFonts w:ascii="Times New Roman" w:hAnsi="Times New Roman" w:cs="Times New Roman"/>
          <w:noProof/>
          <w:sz w:val="24"/>
          <w:szCs w:val="24"/>
          <w:u w:val="single"/>
        </w:rPr>
        <w:t xml:space="preserve"> Blend</w:t>
      </w:r>
      <w:r w:rsidRPr="00A248E8">
        <w:rPr>
          <w:rFonts w:ascii="Times New Roman" w:hAnsi="Times New Roman" w:cs="Times New Roman"/>
          <w:noProof/>
          <w:sz w:val="24"/>
          <w:szCs w:val="24"/>
          <w:u w:val="single"/>
        </w:rPr>
        <w:t xml:space="preserve">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140</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140</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141</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Basis Futures (NSP)</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.04 Last Trading Day</w:t>
      </w:r>
    </w:p>
    <w:p w:rsidR="00A248E8" w:rsidRDefault="007E5DBE" w:rsidP="00A248E8">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A248E8"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A248E8"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A248E8">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lastRenderedPageBreak/>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basis differential between the final Canadian Synthetic Sweet Crude Oil Index (C.C.I.) price and  the daily settlement price of the NFX WTI 1st Line Financial Futures (RTIQ)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407E4B"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141</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A248E8">
        <w:rPr>
          <w:rFonts w:ascii="Times New Roman" w:hAnsi="Times New Roman" w:cs="Times New Roman"/>
          <w:sz w:val="24"/>
          <w:szCs w:val="24"/>
          <w:u w:val="single"/>
        </w:rPr>
        <w:t xml:space="preserve"> </w:t>
      </w:r>
    </w:p>
    <w:p w:rsidR="00A248E8" w:rsidRDefault="00A248E8"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142</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Canadian Synthetic Sweet Crude Oil Financial Futures (CSNQ)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2:30 PM EPT final settlement price for the Canadian </w:t>
      </w:r>
      <w:r w:rsidR="005175A2" w:rsidRPr="00A248E8">
        <w:rPr>
          <w:rFonts w:ascii="Times New Roman" w:hAnsi="Times New Roman" w:cs="Times New Roman"/>
          <w:noProof/>
          <w:sz w:val="24"/>
          <w:szCs w:val="24"/>
          <w:u w:val="single"/>
        </w:rPr>
        <w:t xml:space="preserve">Synthetic Sweet </w:t>
      </w:r>
      <w:r w:rsidRPr="00A248E8">
        <w:rPr>
          <w:rFonts w:ascii="Times New Roman" w:hAnsi="Times New Roman" w:cs="Times New Roman"/>
          <w:noProof/>
          <w:sz w:val="24"/>
          <w:szCs w:val="24"/>
          <w:u w:val="single"/>
        </w:rPr>
        <w:t>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lastRenderedPageBreak/>
        <w:t>142</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5175A2"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142</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143</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Basis Futures (NWC)</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.04 Last Trading Day</w:t>
      </w:r>
    </w:p>
    <w:p w:rsidR="00EB34F5" w:rsidRDefault="007E5DBE" w:rsidP="00EB34F5">
      <w:pPr>
        <w:spacing w:after="240" w:line="240" w:lineRule="auto"/>
        <w:rPr>
          <w:rFonts w:ascii="Times New Roman" w:hAnsi="Times New Roman"/>
          <w:iCs/>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EB34F5">
      <w:pPr>
        <w:spacing w:after="24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 xml:space="preserve">Pursuant to Chapter V, Section III, the final settlement price shall be equal to the basis differential between the final Western Canadian Select Crude Oil Index (C.C.I.) price and  the daily settlement price of the NFX WTI 1st Line Financial Futures (RTIQ) on the last Canadian </w:t>
      </w:r>
      <w:r w:rsidRPr="00A248E8">
        <w:rPr>
          <w:rFonts w:ascii="Times New Roman" w:hAnsi="Times New Roman" w:cs="Times New Roman"/>
          <w:noProof/>
          <w:sz w:val="24"/>
          <w:szCs w:val="24"/>
          <w:u w:val="single"/>
        </w:rPr>
        <w:lastRenderedPageBreak/>
        <w:t>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0.500</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143</w:t>
      </w:r>
      <w:r w:rsidRPr="00A248E8">
        <w:rPr>
          <w:rFonts w:ascii="Times New Roman" w:hAnsi="Times New Roman" w:cs="Times New Roman"/>
          <w:b/>
          <w:sz w:val="24"/>
          <w:szCs w:val="24"/>
          <w:u w:val="single"/>
        </w:rPr>
        <w:t>.10 Non-Reviewable Range</w:t>
      </w:r>
    </w:p>
    <w:p w:rsidR="007E5DBE"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p>
    <w:p w:rsidR="00EB34F5" w:rsidRDefault="00EB34F5" w:rsidP="003D77AB">
      <w:pPr>
        <w:spacing w:after="240" w:line="240" w:lineRule="auto"/>
        <w:rPr>
          <w:rFonts w:ascii="Times New Roman" w:hAnsi="Times New Roman" w:cs="Times New Roman"/>
          <w:sz w:val="24"/>
          <w:szCs w:val="24"/>
          <w:u w:val="single"/>
        </w:rPr>
      </w:pPr>
    </w:p>
    <w:p w:rsidR="007E5DBE" w:rsidRPr="00A248E8" w:rsidRDefault="007E5DBE" w:rsidP="003D77AB">
      <w:pPr>
        <w:keepNext/>
        <w:spacing w:after="240" w:line="240" w:lineRule="auto"/>
        <w:rPr>
          <w:rFonts w:ascii="Times New Roman" w:eastAsia="Times New Roman" w:hAnsi="Times New Roman" w:cs="Times New Roman"/>
          <w:b/>
          <w:sz w:val="24"/>
          <w:szCs w:val="24"/>
          <w:u w:val="single"/>
        </w:rPr>
      </w:pPr>
      <w:r w:rsidRPr="00A248E8">
        <w:rPr>
          <w:rFonts w:ascii="Times New Roman" w:eastAsia="Times New Roman" w:hAnsi="Times New Roman" w:cs="Times New Roman"/>
          <w:b/>
          <w:sz w:val="24"/>
          <w:szCs w:val="24"/>
          <w:u w:val="single"/>
        </w:rPr>
        <w:t xml:space="preserve">Chapter </w:t>
      </w:r>
      <w:r w:rsidRPr="00A248E8">
        <w:rPr>
          <w:rFonts w:ascii="Times New Roman" w:eastAsia="Times New Roman" w:hAnsi="Times New Roman" w:cs="Times New Roman"/>
          <w:b/>
          <w:noProof/>
          <w:sz w:val="24"/>
          <w:szCs w:val="24"/>
          <w:u w:val="single"/>
        </w:rPr>
        <w:t>144</w:t>
      </w:r>
      <w:r w:rsidRPr="00A248E8">
        <w:rPr>
          <w:rFonts w:ascii="Times New Roman" w:eastAsia="Times New Roman" w:hAnsi="Times New Roman" w:cs="Times New Roman"/>
          <w:b/>
          <w:sz w:val="24"/>
          <w:szCs w:val="24"/>
          <w:u w:val="single"/>
        </w:rPr>
        <w:t xml:space="preserve"> </w:t>
      </w:r>
      <w:r w:rsidRPr="00A248E8">
        <w:rPr>
          <w:rFonts w:ascii="Times New Roman" w:eastAsia="Times New Roman" w:hAnsi="Times New Roman" w:cs="Times New Roman"/>
          <w:b/>
          <w:noProof/>
          <w:sz w:val="24"/>
          <w:szCs w:val="24"/>
          <w:u w:val="single"/>
        </w:rPr>
        <w:t>NFX (C.C.I.) Western Canadian Select Crude Oil Financial Futures (CHYQ)</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.01 Unit of Trading</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unit of trading for one contract is </w:t>
      </w:r>
      <w:r w:rsidRPr="00A248E8">
        <w:rPr>
          <w:rFonts w:ascii="Times New Roman" w:hAnsi="Times New Roman" w:cs="Times New Roman"/>
          <w:noProof/>
          <w:sz w:val="24"/>
          <w:szCs w:val="24"/>
          <w:u w:val="single"/>
        </w:rPr>
        <w:t>1,000 barrels</w:t>
      </w:r>
      <w:r w:rsidRPr="00A248E8">
        <w:rPr>
          <w:rFonts w:ascii="Times New Roman" w:hAnsi="Times New Roman" w:cs="Times New Roman"/>
          <w:sz w:val="24"/>
          <w:szCs w:val="24"/>
          <w:u w:val="single"/>
        </w:rPr>
        <w: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.02 Contract Months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The Exchange may list for trading up to </w:t>
      </w:r>
      <w:r w:rsidRPr="00A248E8">
        <w:rPr>
          <w:rFonts w:ascii="Times New Roman" w:hAnsi="Times New Roman" w:cs="Times New Roman"/>
          <w:noProof/>
          <w:sz w:val="24"/>
          <w:szCs w:val="24"/>
          <w:u w:val="single"/>
        </w:rPr>
        <w:t>120</w:t>
      </w:r>
      <w:r w:rsidRPr="00A248E8">
        <w:rPr>
          <w:rFonts w:ascii="Times New Roman" w:hAnsi="Times New Roman" w:cs="Times New Roman"/>
          <w:sz w:val="24"/>
          <w:szCs w:val="24"/>
          <w:u w:val="single"/>
        </w:rPr>
        <w:t xml:space="preserve"> consecutive or non-consecutive monthly contracts, beginning with the nearest available contract month.</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.03 Prices and Minimum Increments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Prices are quoted in U.S. dollars and cents per barrel. The minimum trading increment is </w:t>
      </w:r>
      <w:r w:rsidRPr="00A248E8">
        <w:rPr>
          <w:rFonts w:ascii="Times New Roman" w:eastAsia="Times New Roman" w:hAnsi="Times New Roman" w:cs="Times New Roman"/>
          <w:noProof/>
          <w:sz w:val="24"/>
          <w:szCs w:val="24"/>
          <w:u w:val="single"/>
        </w:rPr>
        <w:t>$0.0001</w:t>
      </w:r>
      <w:r w:rsidRPr="00A248E8">
        <w:rPr>
          <w:rFonts w:ascii="Times New Roman" w:hAnsi="Times New Roman" w:cs="Times New Roman"/>
          <w:sz w:val="24"/>
          <w:szCs w:val="24"/>
          <w:u w:val="single"/>
        </w:rPr>
        <w:t xml:space="preserve"> per barrel which is equal to </w:t>
      </w:r>
      <w:r w:rsidRPr="00A248E8">
        <w:rPr>
          <w:rFonts w:ascii="Times New Roman" w:eastAsia="Times New Roman" w:hAnsi="Times New Roman" w:cs="Times New Roman"/>
          <w:noProof/>
          <w:sz w:val="24"/>
          <w:szCs w:val="24"/>
          <w:u w:val="single"/>
        </w:rPr>
        <w:t>$0.10</w:t>
      </w:r>
      <w:r w:rsidRPr="00A248E8">
        <w:rPr>
          <w:rFonts w:ascii="Times New Roman" w:hAnsi="Times New Roman" w:cs="Times New Roman"/>
          <w:sz w:val="24"/>
          <w:szCs w:val="24"/>
          <w:u w:val="single"/>
        </w:rPr>
        <w:t xml:space="preserve"> per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.04 Last Trading Day</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Trading for a particular contract month terminates on the Canadian business day prior to the Notice of Shipment (NOS) date on the Enbridge Pipeline</w:t>
      </w:r>
      <w:r w:rsidR="00EB34F5" w:rsidRPr="00A248E8">
        <w:rPr>
          <w:rFonts w:ascii="Times New Roman" w:hAnsi="Times New Roman" w:cs="Times New Roman"/>
          <w:sz w:val="24"/>
          <w:szCs w:val="24"/>
          <w:u w:val="single"/>
        </w:rPr>
        <w:t xml:space="preserve">, Inc. The NOS date occurs on or about the 20th calendar day of the month at 2:30 ET. Trading ceases at 2:30 PM EPT on the last </w:t>
      </w:r>
      <w:r w:rsidR="00EB34F5" w:rsidRPr="00A248E8">
        <w:rPr>
          <w:rFonts w:ascii="Times New Roman" w:hAnsi="Times New Roman" w:cs="Times New Roman"/>
          <w:sz w:val="24"/>
          <w:szCs w:val="24"/>
          <w:u w:val="single"/>
        </w:rPr>
        <w:lastRenderedPageBreak/>
        <w:t xml:space="preserve">trading day.  </w:t>
      </w:r>
      <w:r w:rsidR="00EB34F5" w:rsidRPr="00A248E8">
        <w:rPr>
          <w:rFonts w:ascii="Times New Roman" w:hAnsi="Times New Roman"/>
          <w:iCs/>
          <w:sz w:val="24"/>
          <w:szCs w:val="24"/>
          <w:u w:val="single"/>
        </w:rPr>
        <w:t>The NOS date shall be established and made publicly available by Enbridge prior to the start of each calendar year.</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.05 Final Settlement Date</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.06 Final and Daily Settlement and Settlement Prices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(a) Final settlement for contracts held to their maturity date is by cash settlement in U.S. dollars.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 xml:space="preserve">(c) </w:t>
      </w:r>
      <w:r w:rsidRPr="00A248E8">
        <w:rPr>
          <w:rFonts w:ascii="Times New Roman" w:hAnsi="Times New Roman" w:cs="Times New Roman"/>
          <w:noProof/>
          <w:sz w:val="24"/>
          <w:szCs w:val="24"/>
          <w:u w:val="single"/>
        </w:rPr>
        <w:t>Pursuant to Chapter V, Section III, the final settlement price shall be equal to the 2:30 PM EPT final settlement price for the Western Canadian Select Crude Oil Index (C.C.I.) on the last Canadian business day prior to the Notice of Shipment (NOS) date. The index pricing period for each contract month begins on the first Canadian business day of the calendar month prior to the contract month and ends on the Canadian business day prior to the NOS date (as published by Enbridge) in the same calendar month.</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.07 Trading Algorithm</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5, the trading system shall execute orders within the trading system pursuant to the price-time priority order execution algorithm.</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.08 Block Trade Minimum Quantity Threshold and Reporting Window</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10, block trades shall be permitted with a minimum quantity threshold of 5 Contracts and the Reporting Window shall be 15 Minutes.</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.09 Order Price Limit Protection</w:t>
      </w:r>
    </w:p>
    <w:p w:rsidR="007E5DBE" w:rsidRPr="00A248E8" w:rsidRDefault="007E5DBE" w:rsidP="003D77AB">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Pursuant to Chapter IV, Section 8, the Order Price Limits shall be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above and $</w:t>
      </w:r>
      <w:r w:rsidR="0083079F" w:rsidRPr="00A248E8">
        <w:rPr>
          <w:rFonts w:ascii="Times New Roman" w:hAnsi="Times New Roman" w:cs="Times New Roman"/>
          <w:sz w:val="24"/>
          <w:szCs w:val="24"/>
          <w:u w:val="single"/>
        </w:rPr>
        <w:t>0.75</w:t>
      </w:r>
      <w:r w:rsidRPr="00A248E8">
        <w:rPr>
          <w:rFonts w:ascii="Times New Roman" w:hAnsi="Times New Roman" w:cs="Times New Roman"/>
          <w:sz w:val="24"/>
          <w:szCs w:val="24"/>
          <w:u w:val="single"/>
        </w:rPr>
        <w:t xml:space="preserve"> below the Reference Price as defined in Chapter IV, Section 8.</w:t>
      </w:r>
    </w:p>
    <w:p w:rsidR="007E5DBE" w:rsidRPr="00A248E8" w:rsidRDefault="007E5DBE" w:rsidP="003D77AB">
      <w:pPr>
        <w:keepNext/>
        <w:spacing w:after="0" w:line="240" w:lineRule="auto"/>
        <w:rPr>
          <w:rFonts w:ascii="Times New Roman" w:hAnsi="Times New Roman" w:cs="Times New Roman"/>
          <w:b/>
          <w:sz w:val="24"/>
          <w:szCs w:val="24"/>
          <w:u w:val="single"/>
        </w:rPr>
      </w:pPr>
      <w:r w:rsidRPr="00A248E8">
        <w:rPr>
          <w:rFonts w:ascii="Times New Roman" w:eastAsia="Times New Roman" w:hAnsi="Times New Roman" w:cs="Times New Roman"/>
          <w:b/>
          <w:bCs/>
          <w:noProof/>
          <w:sz w:val="24"/>
          <w:szCs w:val="24"/>
          <w:u w:val="single"/>
        </w:rPr>
        <w:t>144</w:t>
      </w:r>
      <w:r w:rsidRPr="00A248E8">
        <w:rPr>
          <w:rFonts w:ascii="Times New Roman" w:hAnsi="Times New Roman" w:cs="Times New Roman"/>
          <w:b/>
          <w:sz w:val="24"/>
          <w:szCs w:val="24"/>
          <w:u w:val="single"/>
        </w:rPr>
        <w:t>.10 Non-Reviewable Range</w:t>
      </w:r>
    </w:p>
    <w:p w:rsidR="007E5DBE" w:rsidRPr="00A248E8" w:rsidRDefault="007E5DBE" w:rsidP="008B416C">
      <w:pPr>
        <w:spacing w:after="240" w:line="240" w:lineRule="auto"/>
        <w:rPr>
          <w:rFonts w:ascii="Times New Roman" w:hAnsi="Times New Roman" w:cs="Times New Roman"/>
          <w:sz w:val="24"/>
          <w:szCs w:val="24"/>
          <w:u w:val="single"/>
        </w:rPr>
      </w:pPr>
      <w:r w:rsidRPr="00A248E8">
        <w:rPr>
          <w:rFonts w:ascii="Times New Roman" w:hAnsi="Times New Roman" w:cs="Times New Roman"/>
          <w:sz w:val="24"/>
          <w:szCs w:val="24"/>
          <w:u w:val="single"/>
        </w:rPr>
        <w:t>For purposes of Chapter V, Section 5, the non-reviewable range shall be from $1.00 above to $1.00 below the true market price for the Contract as set forth in the Exchange's Error Trade Policy.</w:t>
      </w:r>
      <w:r w:rsidR="00EB34F5">
        <w:rPr>
          <w:rFonts w:ascii="Times New Roman" w:hAnsi="Times New Roman" w:cs="Times New Roman"/>
          <w:sz w:val="24"/>
          <w:szCs w:val="24"/>
          <w:u w:val="single"/>
        </w:rPr>
        <w:t xml:space="preserve"> </w:t>
      </w:r>
      <w:bookmarkStart w:id="2" w:name="_GoBack"/>
      <w:bookmarkEnd w:id="2"/>
    </w:p>
    <w:sectPr w:rsidR="007E5DBE" w:rsidRPr="00A24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9C" w:rsidRDefault="0041519C" w:rsidP="00154462">
      <w:pPr>
        <w:spacing w:after="0" w:line="240" w:lineRule="auto"/>
      </w:pPr>
      <w:r>
        <w:separator/>
      </w:r>
    </w:p>
  </w:endnote>
  <w:endnote w:type="continuationSeparator" w:id="0">
    <w:p w:rsidR="0041519C" w:rsidRDefault="0041519C"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9C" w:rsidRDefault="0041519C" w:rsidP="00154462">
      <w:pPr>
        <w:spacing w:after="0" w:line="240" w:lineRule="auto"/>
      </w:pPr>
      <w:r>
        <w:separator/>
      </w:r>
    </w:p>
  </w:footnote>
  <w:footnote w:type="continuationSeparator" w:id="0">
    <w:p w:rsidR="0041519C" w:rsidRDefault="0041519C" w:rsidP="0015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B" w:rsidRPr="00161E66" w:rsidRDefault="000959AB" w:rsidP="000959AB">
    <w:pPr>
      <w:pStyle w:val="Header"/>
      <w:spacing w:before="0" w:line="240" w:lineRule="auto"/>
      <w:ind w:right="0"/>
      <w:rPr>
        <w:rFonts w:ascii="Times New Roman" w:hAnsi="Times New Roman"/>
        <w:sz w:val="24"/>
        <w:szCs w:val="24"/>
      </w:rPr>
    </w:pPr>
    <w:r w:rsidRPr="00161E66">
      <w:rPr>
        <w:rFonts w:ascii="Times New Roman" w:hAnsi="Times New Roman"/>
        <w:sz w:val="24"/>
        <w:szCs w:val="24"/>
      </w:rPr>
      <w:t>SR-NFX-2018-</w:t>
    </w:r>
    <w:r w:rsidR="002C1D81" w:rsidRPr="002C1D81">
      <w:rPr>
        <w:rFonts w:ascii="Times New Roman" w:hAnsi="Times New Roman"/>
        <w:sz w:val="24"/>
        <w:szCs w:val="24"/>
      </w:rPr>
      <w:t>51</w:t>
    </w:r>
    <w:r w:rsidRPr="00161E66">
      <w:rPr>
        <w:rFonts w:ascii="Times New Roman" w:hAnsi="Times New Roman"/>
        <w:sz w:val="24"/>
        <w:szCs w:val="24"/>
      </w:rPr>
      <w:t xml:space="preserve"> 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959AB"/>
    <w:rsid w:val="000D2872"/>
    <w:rsid w:val="00107618"/>
    <w:rsid w:val="0012529D"/>
    <w:rsid w:val="00154462"/>
    <w:rsid w:val="00166978"/>
    <w:rsid w:val="001A62F0"/>
    <w:rsid w:val="00200816"/>
    <w:rsid w:val="00230133"/>
    <w:rsid w:val="00250777"/>
    <w:rsid w:val="00260306"/>
    <w:rsid w:val="002648E7"/>
    <w:rsid w:val="002C1D81"/>
    <w:rsid w:val="0034607C"/>
    <w:rsid w:val="00385E01"/>
    <w:rsid w:val="003A0353"/>
    <w:rsid w:val="003D77AB"/>
    <w:rsid w:val="003F0FAB"/>
    <w:rsid w:val="00407E4B"/>
    <w:rsid w:val="0041519C"/>
    <w:rsid w:val="004F2969"/>
    <w:rsid w:val="005041FF"/>
    <w:rsid w:val="005175A2"/>
    <w:rsid w:val="005B30E4"/>
    <w:rsid w:val="005C6BC9"/>
    <w:rsid w:val="005F1CAD"/>
    <w:rsid w:val="00636675"/>
    <w:rsid w:val="00644EF7"/>
    <w:rsid w:val="006B4933"/>
    <w:rsid w:val="007215AE"/>
    <w:rsid w:val="007A3086"/>
    <w:rsid w:val="007D035E"/>
    <w:rsid w:val="007E5DBE"/>
    <w:rsid w:val="007F249E"/>
    <w:rsid w:val="007F5C08"/>
    <w:rsid w:val="0083079F"/>
    <w:rsid w:val="008730C5"/>
    <w:rsid w:val="00891DA6"/>
    <w:rsid w:val="00893E15"/>
    <w:rsid w:val="008B416C"/>
    <w:rsid w:val="008C3F5C"/>
    <w:rsid w:val="00905AEA"/>
    <w:rsid w:val="00943A7F"/>
    <w:rsid w:val="009B3CF2"/>
    <w:rsid w:val="009D0EAF"/>
    <w:rsid w:val="009D1192"/>
    <w:rsid w:val="00A22750"/>
    <w:rsid w:val="00A248E8"/>
    <w:rsid w:val="00A33019"/>
    <w:rsid w:val="00A714FC"/>
    <w:rsid w:val="00AA1515"/>
    <w:rsid w:val="00AB76F5"/>
    <w:rsid w:val="00AC72E4"/>
    <w:rsid w:val="00B71D0F"/>
    <w:rsid w:val="00B72C19"/>
    <w:rsid w:val="00BA46FD"/>
    <w:rsid w:val="00C1274C"/>
    <w:rsid w:val="00C23C4F"/>
    <w:rsid w:val="00C4068B"/>
    <w:rsid w:val="00D93463"/>
    <w:rsid w:val="00DB7F3A"/>
    <w:rsid w:val="00E42807"/>
    <w:rsid w:val="00EA081C"/>
    <w:rsid w:val="00EA4F65"/>
    <w:rsid w:val="00EB34F5"/>
    <w:rsid w:val="00EC2DD6"/>
    <w:rsid w:val="00EF1683"/>
    <w:rsid w:val="00F4621C"/>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uiPriority w:val="99"/>
    <w:rsid w:val="00154462"/>
    <w:pPr>
      <w:tabs>
        <w:tab w:val="center" w:pos="4536"/>
        <w:tab w:val="right" w:pos="9072"/>
      </w:tabs>
      <w:ind w:right="1134"/>
    </w:pPr>
    <w:rPr>
      <w:noProof/>
    </w:rPr>
  </w:style>
  <w:style w:type="character" w:customStyle="1" w:styleId="HeaderChar">
    <w:name w:val="Header Char"/>
    <w:basedOn w:val="DefaultParagraphFont"/>
    <w:link w:val="Header"/>
    <w:uiPriority w:val="99"/>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8342">
      <w:bodyDiv w:val="1"/>
      <w:marLeft w:val="0"/>
      <w:marRight w:val="0"/>
      <w:marTop w:val="0"/>
      <w:marBottom w:val="0"/>
      <w:divBdr>
        <w:top w:val="none" w:sz="0" w:space="0" w:color="auto"/>
        <w:left w:val="none" w:sz="0" w:space="0" w:color="auto"/>
        <w:bottom w:val="none" w:sz="0" w:space="0" w:color="auto"/>
        <w:right w:val="none" w:sz="0" w:space="0" w:color="auto"/>
      </w:divBdr>
    </w:div>
    <w:div w:id="633098348">
      <w:bodyDiv w:val="1"/>
      <w:marLeft w:val="0"/>
      <w:marRight w:val="0"/>
      <w:marTop w:val="0"/>
      <w:marBottom w:val="0"/>
      <w:divBdr>
        <w:top w:val="none" w:sz="0" w:space="0" w:color="auto"/>
        <w:left w:val="none" w:sz="0" w:space="0" w:color="auto"/>
        <w:bottom w:val="none" w:sz="0" w:space="0" w:color="auto"/>
        <w:right w:val="none" w:sz="0" w:space="0" w:color="auto"/>
      </w:divBdr>
    </w:div>
    <w:div w:id="698970829">
      <w:bodyDiv w:val="1"/>
      <w:marLeft w:val="0"/>
      <w:marRight w:val="0"/>
      <w:marTop w:val="0"/>
      <w:marBottom w:val="0"/>
      <w:divBdr>
        <w:top w:val="none" w:sz="0" w:space="0" w:color="auto"/>
        <w:left w:val="none" w:sz="0" w:space="0" w:color="auto"/>
        <w:bottom w:val="none" w:sz="0" w:space="0" w:color="auto"/>
        <w:right w:val="none" w:sz="0" w:space="0" w:color="auto"/>
      </w:divBdr>
    </w:div>
    <w:div w:id="744498529">
      <w:bodyDiv w:val="1"/>
      <w:marLeft w:val="0"/>
      <w:marRight w:val="0"/>
      <w:marTop w:val="0"/>
      <w:marBottom w:val="0"/>
      <w:divBdr>
        <w:top w:val="none" w:sz="0" w:space="0" w:color="auto"/>
        <w:left w:val="none" w:sz="0" w:space="0" w:color="auto"/>
        <w:bottom w:val="none" w:sz="0" w:space="0" w:color="auto"/>
        <w:right w:val="none" w:sz="0" w:space="0" w:color="auto"/>
      </w:divBdr>
    </w:div>
    <w:div w:id="801653261">
      <w:bodyDiv w:val="1"/>
      <w:marLeft w:val="0"/>
      <w:marRight w:val="0"/>
      <w:marTop w:val="0"/>
      <w:marBottom w:val="0"/>
      <w:divBdr>
        <w:top w:val="none" w:sz="0" w:space="0" w:color="auto"/>
        <w:left w:val="none" w:sz="0" w:space="0" w:color="auto"/>
        <w:bottom w:val="none" w:sz="0" w:space="0" w:color="auto"/>
        <w:right w:val="none" w:sz="0" w:space="0" w:color="auto"/>
      </w:divBdr>
    </w:div>
    <w:div w:id="1100489461">
      <w:bodyDiv w:val="1"/>
      <w:marLeft w:val="0"/>
      <w:marRight w:val="0"/>
      <w:marTop w:val="0"/>
      <w:marBottom w:val="0"/>
      <w:divBdr>
        <w:top w:val="none" w:sz="0" w:space="0" w:color="auto"/>
        <w:left w:val="none" w:sz="0" w:space="0" w:color="auto"/>
        <w:bottom w:val="none" w:sz="0" w:space="0" w:color="auto"/>
        <w:right w:val="none" w:sz="0" w:space="0" w:color="auto"/>
      </w:divBdr>
    </w:div>
    <w:div w:id="1181043130">
      <w:bodyDiv w:val="1"/>
      <w:marLeft w:val="0"/>
      <w:marRight w:val="0"/>
      <w:marTop w:val="0"/>
      <w:marBottom w:val="0"/>
      <w:divBdr>
        <w:top w:val="none" w:sz="0" w:space="0" w:color="auto"/>
        <w:left w:val="none" w:sz="0" w:space="0" w:color="auto"/>
        <w:bottom w:val="none" w:sz="0" w:space="0" w:color="auto"/>
        <w:right w:val="none" w:sz="0" w:space="0" w:color="auto"/>
      </w:divBdr>
    </w:div>
    <w:div w:id="1229683179">
      <w:bodyDiv w:val="1"/>
      <w:marLeft w:val="0"/>
      <w:marRight w:val="0"/>
      <w:marTop w:val="0"/>
      <w:marBottom w:val="0"/>
      <w:divBdr>
        <w:top w:val="none" w:sz="0" w:space="0" w:color="auto"/>
        <w:left w:val="none" w:sz="0" w:space="0" w:color="auto"/>
        <w:bottom w:val="none" w:sz="0" w:space="0" w:color="auto"/>
        <w:right w:val="none" w:sz="0" w:space="0" w:color="auto"/>
      </w:divBdr>
    </w:div>
    <w:div w:id="1323390041">
      <w:bodyDiv w:val="1"/>
      <w:marLeft w:val="0"/>
      <w:marRight w:val="0"/>
      <w:marTop w:val="0"/>
      <w:marBottom w:val="0"/>
      <w:divBdr>
        <w:top w:val="none" w:sz="0" w:space="0" w:color="auto"/>
        <w:left w:val="none" w:sz="0" w:space="0" w:color="auto"/>
        <w:bottom w:val="none" w:sz="0" w:space="0" w:color="auto"/>
        <w:right w:val="none" w:sz="0" w:space="0" w:color="auto"/>
      </w:divBdr>
    </w:div>
    <w:div w:id="1336616831">
      <w:bodyDiv w:val="1"/>
      <w:marLeft w:val="0"/>
      <w:marRight w:val="0"/>
      <w:marTop w:val="0"/>
      <w:marBottom w:val="0"/>
      <w:divBdr>
        <w:top w:val="none" w:sz="0" w:space="0" w:color="auto"/>
        <w:left w:val="none" w:sz="0" w:space="0" w:color="auto"/>
        <w:bottom w:val="none" w:sz="0" w:space="0" w:color="auto"/>
        <w:right w:val="none" w:sz="0" w:space="0" w:color="auto"/>
      </w:divBdr>
    </w:div>
    <w:div w:id="1740440612">
      <w:bodyDiv w:val="1"/>
      <w:marLeft w:val="0"/>
      <w:marRight w:val="0"/>
      <w:marTop w:val="0"/>
      <w:marBottom w:val="0"/>
      <w:divBdr>
        <w:top w:val="none" w:sz="0" w:space="0" w:color="auto"/>
        <w:left w:val="none" w:sz="0" w:space="0" w:color="auto"/>
        <w:bottom w:val="none" w:sz="0" w:space="0" w:color="auto"/>
        <w:right w:val="none" w:sz="0" w:space="0" w:color="auto"/>
      </w:divBdr>
    </w:div>
    <w:div w:id="1765958887">
      <w:bodyDiv w:val="1"/>
      <w:marLeft w:val="0"/>
      <w:marRight w:val="0"/>
      <w:marTop w:val="0"/>
      <w:marBottom w:val="0"/>
      <w:divBdr>
        <w:top w:val="none" w:sz="0" w:space="0" w:color="auto"/>
        <w:left w:val="none" w:sz="0" w:space="0" w:color="auto"/>
        <w:bottom w:val="none" w:sz="0" w:space="0" w:color="auto"/>
        <w:right w:val="none" w:sz="0" w:space="0" w:color="auto"/>
      </w:divBdr>
    </w:div>
    <w:div w:id="1831747916">
      <w:bodyDiv w:val="1"/>
      <w:marLeft w:val="0"/>
      <w:marRight w:val="0"/>
      <w:marTop w:val="0"/>
      <w:marBottom w:val="0"/>
      <w:divBdr>
        <w:top w:val="none" w:sz="0" w:space="0" w:color="auto"/>
        <w:left w:val="none" w:sz="0" w:space="0" w:color="auto"/>
        <w:bottom w:val="none" w:sz="0" w:space="0" w:color="auto"/>
        <w:right w:val="none" w:sz="0" w:space="0" w:color="auto"/>
      </w:divBdr>
    </w:div>
    <w:div w:id="1848977701">
      <w:bodyDiv w:val="1"/>
      <w:marLeft w:val="0"/>
      <w:marRight w:val="0"/>
      <w:marTop w:val="0"/>
      <w:marBottom w:val="0"/>
      <w:divBdr>
        <w:top w:val="none" w:sz="0" w:space="0" w:color="auto"/>
        <w:left w:val="none" w:sz="0" w:space="0" w:color="auto"/>
        <w:bottom w:val="none" w:sz="0" w:space="0" w:color="auto"/>
        <w:right w:val="none" w:sz="0" w:space="0" w:color="auto"/>
      </w:divBdr>
    </w:div>
    <w:div w:id="19274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415cae6f-d888-4149-a017-710f4302e21f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2018-11-13T15:48:22+00:00</Document_x0020_Date>
    <Document_x0020_No xmlns="4b47aac5-4c46-444f-8595-ce09b406fc61">44339</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14A66E1-EDEF-4E24-B5EA-BDA81012DA9D}"/>
</file>

<file path=customXml/itemProps2.xml><?xml version="1.0" encoding="utf-8"?>
<ds:datastoreItem xmlns:ds="http://schemas.openxmlformats.org/officeDocument/2006/customXml" ds:itemID="{79B7EFD1-6F8D-4B79-B865-2C63F61112E4}"/>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3A7CFA46-070B-4FB3-8F6D-AE691B1FB4C0}"/>
</file>

<file path=customXml/itemProps5.xml><?xml version="1.0" encoding="utf-8"?>
<ds:datastoreItem xmlns:ds="http://schemas.openxmlformats.org/officeDocument/2006/customXml" ds:itemID="{244DAC1C-ED5B-4BF3-A437-6CEE44461AFE}"/>
</file>

<file path=docProps/app.xml><?xml version="1.0" encoding="utf-8"?>
<Properties xmlns="http://schemas.openxmlformats.org/officeDocument/2006/extended-properties" xmlns:vt="http://schemas.openxmlformats.org/officeDocument/2006/docPropsVTypes">
  <Template>Normal</Template>
  <TotalTime>31</TotalTime>
  <Pages>15</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7</cp:revision>
  <dcterms:created xsi:type="dcterms:W3CDTF">2018-11-06T14:40:00Z</dcterms:created>
  <dcterms:modified xsi:type="dcterms:W3CDTF">2018-11-09T17:09:00Z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6377100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