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e5ef7cd6-10cd-42d8-baec-9a33923352cc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2018-11-13T15:58:53+00:00</Document_x0020_Date>
    <Document_x0020_No xmlns="4b47aac5-4c46-444f-8595-ce09b406fc61">44350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AC9E-887F-4727-8ED8-B40C7B6FEF6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00CC460-770A-4191-9422-CE4216DD3AD5}"/>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