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22023ed3-7194-4300-a704-00964c978c2d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2018-11-13T16:02:52+00:00</Document_x0020_Date>
    <Document_x0020_No xmlns="4b47aac5-4c46-444f-8595-ce09b406fc61">44357</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4D443707-98C2-42E1-96BC-4F2CE76E32E7}"/>
</file>

<file path=customXml/itemProps5.xml><?xml version="1.0" encoding="utf-8"?>
<ds:datastoreItem xmlns:ds="http://schemas.openxmlformats.org/officeDocument/2006/customXml" ds:itemID="{CD2554C4-C7DA-4AE6-9C25-44C137265106}"/>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