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be1e6cce-6032-4241-af61-4f4e52916791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2016-11-14T20:40:06+00:00</Document_x0020_Date>
    <Document_x0020_No xmlns="4b47aac5-4c46-444f-8595-ce09b406fc61">27306</Document_x0020_No>
  </documentManagement>
</p:properties>
</file>

<file path=customXml/itemProps1.xml><?xml version="1.0" encoding="utf-8"?>
<ds:datastoreItem xmlns:ds="http://schemas.openxmlformats.org/officeDocument/2006/customXml" ds:itemID="{927E76F3-7ED3-4D81-8A01-0B9DC49C01DB}"/>
</file>

<file path=customXml/itemProps2.xml><?xml version="1.0" encoding="utf-8"?>
<ds:datastoreItem xmlns:ds="http://schemas.openxmlformats.org/officeDocument/2006/customXml" ds:itemID="{26A75074-9485-416C-B46C-C30FD2B54687}"/>
</file>

<file path=customXml/itemProps3.xml><?xml version="1.0" encoding="utf-8"?>
<ds:datastoreItem xmlns:ds="http://schemas.openxmlformats.org/officeDocument/2006/customXml" ds:itemID="{342BC39C-A358-4772-9984-BFA7543DAC6B}"/>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15E3E374-DB19-4A2B-9F07-91EF4DC601B3}"/>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