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Default="008717EF" w:rsidP="008717EF">
      <w:pPr>
        <w:spacing w:before="120" w:after="0"/>
        <w:ind w:left="6550" w:hanging="6550"/>
        <w:rPr>
          <w:rFonts w:ascii="Times New Roman" w:eastAsia="Calibri" w:hAnsi="Times New Roman"/>
          <w:sz w:val="24"/>
          <w:szCs w:val="24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EF2">
        <w:rPr>
          <w:rFonts w:ascii="Times New Roman" w:eastAsia="Calibri" w:hAnsi="Times New Roman" w:cs="Times New Roman"/>
          <w:sz w:val="24"/>
          <w:szCs w:val="24"/>
        </w:rPr>
        <w:t>November 21, 2017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8717EF" w:rsidRPr="00151B94" w:rsidRDefault="008717EF" w:rsidP="008717EF">
      <w:pPr>
        <w:spacing w:before="120" w:after="0"/>
        <w:ind w:left="6550"/>
        <w:rPr>
          <w:sz w:val="18"/>
          <w:szCs w:val="18"/>
        </w:rPr>
      </w:pP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 xml:space="preserve">asdaq Futures, </w:t>
      </w:r>
      <w:proofErr w:type="gramStart"/>
      <w:r w:rsidRPr="00151B94">
        <w:rPr>
          <w:sz w:val="18"/>
          <w:szCs w:val="18"/>
        </w:rPr>
        <w:t>Inc.</w:t>
      </w:r>
      <w:proofErr w:type="gramEnd"/>
    </w:p>
    <w:p w:rsidR="008717EF" w:rsidRPr="00E1206A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51B94">
        <w:rPr>
          <w:rFonts w:cs="Times New Roman"/>
          <w:sz w:val="18"/>
          <w:szCs w:val="18"/>
        </w:rPr>
        <w:t>business.nasdaq.com/futures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E1206A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C26B7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700F18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143693">
        <w:rPr>
          <w:rFonts w:ascii="Times New Roman" w:eastAsia="Calibri" w:hAnsi="Times New Roman" w:cs="Times New Roman"/>
          <w:b/>
          <w:sz w:val="24"/>
          <w:szCs w:val="24"/>
          <w:u w:val="single"/>
        </w:rPr>
        <w:t>51</w:t>
      </w:r>
    </w:p>
    <w:p w:rsidR="008D2C12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C26B7B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C26B7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DE235E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DE235E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DE235E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E235E">
        <w:rPr>
          <w:rFonts w:ascii="Times New Roman" w:eastAsia="Calibri" w:hAnsi="Times New Roman" w:cs="Times New Roman"/>
          <w:sz w:val="24"/>
          <w:szCs w:val="24"/>
        </w:rPr>
        <w:t>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35E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>
        <w:rPr>
          <w:rFonts w:ascii="Times New Roman" w:eastAsia="Calibri" w:hAnsi="Times New Roman" w:cs="Times New Roman"/>
          <w:sz w:val="24"/>
          <w:szCs w:val="24"/>
        </w:rPr>
        <w:t>d</w:t>
      </w:r>
      <w:r w:rsidRPr="00DE235E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0D3824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E235E">
        <w:rPr>
          <w:rFonts w:ascii="Times New Roman" w:eastAsia="Calibri" w:hAnsi="Times New Roman" w:cs="Times New Roman"/>
          <w:sz w:val="24"/>
          <w:szCs w:val="24"/>
        </w:rPr>
        <w:t>(“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DE235E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85416B">
        <w:rPr>
          <w:rFonts w:ascii="Times New Roman" w:eastAsia="Calibri" w:hAnsi="Times New Roman" w:cs="Times New Roman"/>
          <w:sz w:val="24"/>
          <w:szCs w:val="24"/>
          <w:u w:val="single"/>
        </w:rPr>
        <w:t>Exchang</w:t>
      </w:r>
      <w:r w:rsidRPr="000D3824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="0085416B" w:rsidRPr="000D382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0D3824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6D1B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E25B48">
        <w:rPr>
          <w:rFonts w:ascii="Times New Roman" w:eastAsia="Calibri" w:hAnsi="Times New Roman" w:cs="Times New Roman"/>
          <w:sz w:val="24"/>
          <w:szCs w:val="24"/>
        </w:rPr>
        <w:t>November 16</w:t>
      </w:r>
      <w:r w:rsidR="002A2EE7">
        <w:rPr>
          <w:rFonts w:ascii="Times New Roman" w:eastAsia="Calibri" w:hAnsi="Times New Roman" w:cs="Times New Roman"/>
          <w:sz w:val="24"/>
          <w:szCs w:val="24"/>
        </w:rPr>
        <w:t>, 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0D3824">
        <w:rPr>
          <w:rFonts w:ascii="Times New Roman" w:eastAsia="Calibri" w:hAnsi="Times New Roman" w:cs="Times New Roman"/>
          <w:sz w:val="24"/>
          <w:szCs w:val="24"/>
        </w:rPr>
        <w:t>, the Exchan</w:t>
      </w:r>
      <w:r w:rsidRPr="002A6D1B">
        <w:rPr>
          <w:rFonts w:ascii="Times New Roman" w:eastAsia="Calibri" w:hAnsi="Times New Roman" w:cs="Times New Roman"/>
          <w:sz w:val="24"/>
          <w:szCs w:val="24"/>
        </w:rPr>
        <w:t>ge issued Futures Trader Alert #201</w:t>
      </w:r>
      <w:r w:rsidR="00700F18">
        <w:rPr>
          <w:rFonts w:ascii="Times New Roman" w:eastAsia="Calibri" w:hAnsi="Times New Roman" w:cs="Times New Roman"/>
          <w:sz w:val="24"/>
          <w:szCs w:val="24"/>
        </w:rPr>
        <w:t>7</w:t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25B48">
        <w:rPr>
          <w:rFonts w:ascii="Times New Roman" w:eastAsia="Calibri" w:hAnsi="Times New Roman" w:cs="Times New Roman"/>
          <w:sz w:val="24"/>
          <w:szCs w:val="24"/>
        </w:rPr>
        <w:t>22</w:t>
      </w:r>
      <w:r w:rsidRPr="002A6D1B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2A6D1B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>
        <w:rPr>
          <w:rFonts w:ascii="Times New Roman" w:eastAsia="Calibri" w:hAnsi="Times New Roman" w:cs="Times New Roman"/>
          <w:sz w:val="24"/>
          <w:szCs w:val="24"/>
        </w:rPr>
        <w:t>months in</w:t>
      </w:r>
      <w:r w:rsidR="002A6D1B" w:rsidRPr="002A6D1B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r w:rsidR="00700F18" w:rsidRPr="00700F18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E25B48" w:rsidRPr="00E25B48">
        <w:rPr>
          <w:rFonts w:ascii="Times New Roman" w:eastAsia="Calibri" w:hAnsi="Times New Roman" w:cs="Times New Roman"/>
          <w:sz w:val="24"/>
          <w:szCs w:val="24"/>
        </w:rPr>
        <w:t>PJM Western Hub Real-Time Peak One Time Calendar Year Financial Futures (PMXQ)</w:t>
      </w:r>
      <w:r w:rsidR="00E25B48">
        <w:rPr>
          <w:rFonts w:ascii="Times New Roman" w:eastAsia="Calibri" w:hAnsi="Times New Roman" w:cs="Times New Roman"/>
          <w:sz w:val="24"/>
          <w:szCs w:val="24"/>
        </w:rPr>
        <w:t xml:space="preserve"> and Options (PMQ)</w:t>
      </w:r>
      <w:r w:rsidRPr="002A6D1B">
        <w:rPr>
          <w:rFonts w:ascii="Times New Roman" w:eastAsia="Calibri" w:hAnsi="Times New Roman" w:cs="Times New Roman"/>
          <w:sz w:val="24"/>
          <w:szCs w:val="24"/>
        </w:rPr>
        <w:t>,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091719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5B48" w:rsidRPr="00E25B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 and 16</w:t>
      </w:r>
      <w:r w:rsidR="00E25B48" w:rsidRPr="00E25B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, for trade date</w:t>
      </w:r>
      <w:r w:rsidR="00BB1D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719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25B48" w:rsidRPr="00E25B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 and 17</w:t>
      </w:r>
      <w:r w:rsidR="00E25B48" w:rsidRPr="00E25B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, respectively.  </w:t>
      </w:r>
      <w:r w:rsidR="001F7DF3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was the first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contract month</w:t>
      </w:r>
      <w:r w:rsidR="00E25B48">
        <w:rPr>
          <w:rFonts w:ascii="Times New Roman" w:eastAsia="Times New Roman" w:hAnsi="Times New Roman" w:cs="Times New Roman"/>
          <w:sz w:val="24"/>
          <w:szCs w:val="24"/>
        </w:rPr>
        <w:t xml:space="preserve"> available for trading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D1B">
        <w:rPr>
          <w:rFonts w:ascii="Times New Roman" w:eastAsia="Times New Roman" w:hAnsi="Times New Roman" w:cs="Times New Roman"/>
          <w:sz w:val="24"/>
          <w:szCs w:val="24"/>
        </w:rPr>
        <w:t>The trading months for the new contracts, which were previ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ously certified pursuant to Commission Rule 40.2 on </w:t>
      </w:r>
      <w:r w:rsidR="00BB1D62"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00F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3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382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0D3824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0D3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39" w:rsidRDefault="00CB7039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FA574E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7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077"/>
        <w:gridCol w:w="1620"/>
        <w:gridCol w:w="1710"/>
      </w:tblGrid>
      <w:tr w:rsidR="00FA574E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Rulebook</w:t>
            </w: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Appendix A Chapter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Name of Energy Futures Contract and Trading Symbol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Number of Contract Months Listed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74E" w:rsidRPr="00FA574E" w:rsidRDefault="00FA574E" w:rsidP="00D960A9">
            <w:pPr>
              <w:spacing w:after="0" w:line="240" w:lineRule="auto"/>
              <w:ind w:left="-472" w:firstLine="472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First and </w:t>
            </w:r>
            <w:r w:rsidRPr="00FA574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br/>
              <w:t>Last Months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BB1D62" w:rsidP="00BB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316D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BB1D62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B1D62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NFX PJM Western Hub Real-Time Peak One Time Calendar Year Financial Futures (PMXQ)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BB1D62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36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FA574E" w:rsidRDefault="00BB1D62" w:rsidP="00BB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B1D62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Jan.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2</w:t>
            </w:r>
            <w:r w:rsidRPr="00BB1D62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018, Dec. 2020</w:t>
            </w:r>
          </w:p>
        </w:tc>
      </w:tr>
      <w:tr w:rsidR="009C7535" w:rsidRPr="00FA574E" w:rsidTr="00D960A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BB1D62" w:rsidP="00BB1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316E</w:t>
            </w:r>
          </w:p>
        </w:tc>
        <w:tc>
          <w:tcPr>
            <w:tcW w:w="5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BB1D62" w:rsidP="00D9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B1D62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NFX Options on NFX PJM Western Hub Real-Time Peak One Time Calendar Year Financial Futures (PMQ)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Default="00BB1D62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36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535" w:rsidRPr="009C7535" w:rsidRDefault="00BB1D62" w:rsidP="00D9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BB1D62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Jan.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2</w:t>
            </w:r>
            <w:r w:rsidRPr="00BB1D62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018, Dec. 2020</w:t>
            </w:r>
          </w:p>
        </w:tc>
      </w:tr>
    </w:tbl>
    <w:p w:rsidR="00FA574E" w:rsidRPr="00224146" w:rsidRDefault="00D960A9" w:rsidP="00FA574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2B56C0" w:rsidRPr="0013104F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360AF2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C26B7B">
        <w:rPr>
          <w:rFonts w:ascii="Times New Roman" w:hAnsi="Times New Roman" w:cs="Times New Roman"/>
          <w:sz w:val="24"/>
          <w:szCs w:val="24"/>
        </w:rPr>
        <w:t>Please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refer to</w:t>
      </w:r>
      <w:r w:rsidRPr="00C26B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sz w:val="24"/>
          <w:szCs w:val="24"/>
        </w:rPr>
        <w:t>SR-NFX-201</w:t>
      </w:r>
      <w:r w:rsidR="00A03BA1">
        <w:rPr>
          <w:rFonts w:ascii="Times New Roman" w:hAnsi="Times New Roman" w:cs="Times New Roman"/>
          <w:sz w:val="24"/>
          <w:szCs w:val="24"/>
        </w:rPr>
        <w:t>7</w:t>
      </w:r>
      <w:r w:rsidRPr="00C26B7B">
        <w:rPr>
          <w:rFonts w:ascii="Times New Roman" w:hAnsi="Times New Roman" w:cs="Times New Roman"/>
          <w:sz w:val="24"/>
          <w:szCs w:val="24"/>
        </w:rPr>
        <w:t>-</w:t>
      </w:r>
      <w:r w:rsidR="00BB1D62">
        <w:rPr>
          <w:rFonts w:ascii="Times New Roman" w:hAnsi="Times New Roman" w:cs="Times New Roman"/>
          <w:sz w:val="24"/>
          <w:szCs w:val="24"/>
        </w:rPr>
        <w:t>51</w:t>
      </w:r>
      <w:r w:rsidR="007C4348">
        <w:rPr>
          <w:rFonts w:ascii="Times New Roman" w:hAnsi="Times New Roman" w:cs="Times New Roman"/>
          <w:sz w:val="24"/>
          <w:szCs w:val="24"/>
        </w:rPr>
        <w:t xml:space="preserve"> </w:t>
      </w:r>
      <w:r w:rsidRPr="00C26B7B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13104F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21AC14" wp14:editId="7DD364E9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hAnsi="Times New Roman"/>
          <w:sz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13104F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Sect="005444C0">
      <w:headerReference w:type="default" r:id="rId13"/>
      <w:footerReference w:type="first" r:id="rId14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3E" w:rsidRDefault="00AD7D3E">
      <w:r>
        <w:separator/>
      </w:r>
    </w:p>
  </w:endnote>
  <w:endnote w:type="continuationSeparator" w:id="0">
    <w:p w:rsidR="00AD7D3E" w:rsidRDefault="00AD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04173A36-06EF-46EA-84C0-2F4D098E3557}"/>
    <w:embedBold r:id="rId2" w:fontKey="{F74B1463-2370-453C-B48F-33508260DD4E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3E" w:rsidRDefault="00AD7D3E">
      <w:r>
        <w:separator/>
      </w:r>
    </w:p>
  </w:footnote>
  <w:footnote w:type="continuationSeparator" w:id="0">
    <w:p w:rsidR="00AD7D3E" w:rsidRDefault="00AD7D3E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6970D0">
        <w:rPr>
          <w:rFonts w:ascii="Times New Roman" w:hAnsi="Times New Roman" w:cs="Times New Roman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700F18" w:rsidRPr="005A2000">
        <w:rPr>
          <w:rFonts w:ascii="Times New Roman" w:hAnsi="Times New Roman" w:cs="Times New Roman"/>
        </w:rPr>
        <w:t>7</w:t>
      </w:r>
      <w:r w:rsidRPr="005A2000">
        <w:rPr>
          <w:rFonts w:ascii="Times New Roman" w:hAnsi="Times New Roman" w:cs="Times New Roman"/>
        </w:rPr>
        <w:t>-</w:t>
      </w:r>
      <w:r w:rsidR="00CB7039">
        <w:rPr>
          <w:rFonts w:ascii="Times New Roman" w:hAnsi="Times New Roman" w:cs="Times New Roman"/>
        </w:rPr>
        <w:t>42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F4EF2">
      <w:rPr>
        <w:rFonts w:ascii="Times New Roman" w:hAnsi="Times New Roman" w:cs="Times New Roman"/>
        <w:noProof/>
        <w:sz w:val="20"/>
        <w:szCs w:val="20"/>
      </w:rPr>
      <w:t>November 21, 2017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A03BA1">
      <w:rPr>
        <w:rFonts w:ascii="Times New Roman" w:hAnsi="Times New Roman" w:cs="Times New Roman"/>
        <w:sz w:val="20"/>
        <w:szCs w:val="20"/>
      </w:rPr>
      <w:t>7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BB1D62">
      <w:rPr>
        <w:rFonts w:ascii="Times New Roman" w:hAnsi="Times New Roman" w:cs="Times New Roman"/>
        <w:sz w:val="20"/>
        <w:szCs w:val="20"/>
      </w:rPr>
      <w:t>51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1D0A6F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06A51"/>
    <w:rsid w:val="00010152"/>
    <w:rsid w:val="000141C6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1719"/>
    <w:rsid w:val="00095F3F"/>
    <w:rsid w:val="000A0FF7"/>
    <w:rsid w:val="000A3874"/>
    <w:rsid w:val="000A762C"/>
    <w:rsid w:val="000B0B22"/>
    <w:rsid w:val="000B0F2E"/>
    <w:rsid w:val="000B5E2C"/>
    <w:rsid w:val="000D02B9"/>
    <w:rsid w:val="000D1939"/>
    <w:rsid w:val="000D3824"/>
    <w:rsid w:val="000D4A76"/>
    <w:rsid w:val="000D6BF4"/>
    <w:rsid w:val="000E35C4"/>
    <w:rsid w:val="000E7A11"/>
    <w:rsid w:val="000F3BC3"/>
    <w:rsid w:val="0011314A"/>
    <w:rsid w:val="001265C8"/>
    <w:rsid w:val="00135BE1"/>
    <w:rsid w:val="00143693"/>
    <w:rsid w:val="001521A5"/>
    <w:rsid w:val="00153179"/>
    <w:rsid w:val="00165602"/>
    <w:rsid w:val="001746B9"/>
    <w:rsid w:val="0018088D"/>
    <w:rsid w:val="00197F73"/>
    <w:rsid w:val="001A2BBF"/>
    <w:rsid w:val="001B4FAC"/>
    <w:rsid w:val="001B6ADA"/>
    <w:rsid w:val="001C4306"/>
    <w:rsid w:val="001D02FB"/>
    <w:rsid w:val="001D0A6F"/>
    <w:rsid w:val="001D4C1F"/>
    <w:rsid w:val="001E53F3"/>
    <w:rsid w:val="001F1793"/>
    <w:rsid w:val="001F7DF3"/>
    <w:rsid w:val="00210BE0"/>
    <w:rsid w:val="002230A7"/>
    <w:rsid w:val="00224146"/>
    <w:rsid w:val="00232FFF"/>
    <w:rsid w:val="0024176E"/>
    <w:rsid w:val="00242C21"/>
    <w:rsid w:val="00243744"/>
    <w:rsid w:val="00250841"/>
    <w:rsid w:val="00252BCC"/>
    <w:rsid w:val="00253B2F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A6274"/>
    <w:rsid w:val="003C46F3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72BD3"/>
    <w:rsid w:val="00674E96"/>
    <w:rsid w:val="0067686C"/>
    <w:rsid w:val="00682E52"/>
    <w:rsid w:val="00687FED"/>
    <w:rsid w:val="006970D0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548F"/>
    <w:rsid w:val="00796FBD"/>
    <w:rsid w:val="007B39B4"/>
    <w:rsid w:val="007B4445"/>
    <w:rsid w:val="007C4348"/>
    <w:rsid w:val="007C6C99"/>
    <w:rsid w:val="007D48A6"/>
    <w:rsid w:val="007F6B89"/>
    <w:rsid w:val="00803051"/>
    <w:rsid w:val="0081385B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96143"/>
    <w:rsid w:val="008A4E45"/>
    <w:rsid w:val="008A5035"/>
    <w:rsid w:val="008A6F33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E6278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B3774"/>
    <w:rsid w:val="009C7535"/>
    <w:rsid w:val="009C7C2A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D38"/>
    <w:rsid w:val="00A87F46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D7D3E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D2"/>
    <w:rsid w:val="00B72CDD"/>
    <w:rsid w:val="00B75523"/>
    <w:rsid w:val="00B75AE0"/>
    <w:rsid w:val="00B77FC8"/>
    <w:rsid w:val="00B817A8"/>
    <w:rsid w:val="00B8408C"/>
    <w:rsid w:val="00B90BF8"/>
    <w:rsid w:val="00B96E91"/>
    <w:rsid w:val="00BA7A8A"/>
    <w:rsid w:val="00BB1623"/>
    <w:rsid w:val="00BB1D62"/>
    <w:rsid w:val="00BB22FB"/>
    <w:rsid w:val="00BB4386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6B7B"/>
    <w:rsid w:val="00C32763"/>
    <w:rsid w:val="00C32D24"/>
    <w:rsid w:val="00C34EC0"/>
    <w:rsid w:val="00C42A1F"/>
    <w:rsid w:val="00C43D2B"/>
    <w:rsid w:val="00C45B43"/>
    <w:rsid w:val="00C628A0"/>
    <w:rsid w:val="00C654A6"/>
    <w:rsid w:val="00C70A44"/>
    <w:rsid w:val="00C71ADA"/>
    <w:rsid w:val="00C73623"/>
    <w:rsid w:val="00CA65E5"/>
    <w:rsid w:val="00CB1969"/>
    <w:rsid w:val="00CB2F87"/>
    <w:rsid w:val="00CB6A80"/>
    <w:rsid w:val="00CB7039"/>
    <w:rsid w:val="00CB7A5C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3780"/>
    <w:rsid w:val="00D86D6F"/>
    <w:rsid w:val="00D94689"/>
    <w:rsid w:val="00D960A9"/>
    <w:rsid w:val="00D97F5B"/>
    <w:rsid w:val="00DA1AFC"/>
    <w:rsid w:val="00DA4A81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DDC"/>
    <w:rsid w:val="00E149BA"/>
    <w:rsid w:val="00E25247"/>
    <w:rsid w:val="00E25B48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D25EA"/>
    <w:rsid w:val="00FE61BC"/>
    <w:rsid w:val="00FF4EF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86a1c6ec-6b75-4958-ad1d-78740a2b442e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2017-11-21T20:16:26+00:00</Document_x0020_Date>
    <Document_x0020_No xmlns="4b47aac5-4c46-444f-8595-ce09b406fc61">34445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E4889-D4C4-4CCA-AB05-040F84E9D422}"/>
</file>

<file path=customXml/itemProps2.xml><?xml version="1.0" encoding="utf-8"?>
<ds:datastoreItem xmlns:ds="http://schemas.openxmlformats.org/officeDocument/2006/customXml" ds:itemID="{E7C37DF5-F567-4441-ABA4-60D7D52E58EB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DB5C07B2-A58C-4E17-9415-7613A91C3AAD}"/>
</file>

<file path=customXml/itemProps5.xml><?xml version="1.0" encoding="utf-8"?>
<ds:datastoreItem xmlns:ds="http://schemas.openxmlformats.org/officeDocument/2006/customXml" ds:itemID="{B184A8EE-3483-42B9-B39C-FFC6B1B9097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2</TotalTime>
  <Pages>1</Pages>
  <Words>298</Words>
  <Characters>1700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Rule Amendment</dc:title>
  <dc:creator>Shari Bradford</dc:creator>
  <cp:lastModifiedBy>Aravind Menon</cp:lastModifiedBy>
  <cp:revision>5</cp:revision>
  <cp:lastPrinted>2017-11-20T20:09:00Z</cp:lastPrinted>
  <dcterms:created xsi:type="dcterms:W3CDTF">2017-11-20T20:10:00Z</dcterms:created>
  <dcterms:modified xsi:type="dcterms:W3CDTF">2017-11-21T19:26:00Z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\Cftc.gov</vt:lpwstr>
  </property>
  <property fmtid="{D5CDD505-2E9C-101B-9397-08002B2CF9AE}" pid="4" name="Order">
    <vt:r8>4535400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